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2D" w:rsidRPr="0006332D" w:rsidRDefault="0006332D" w:rsidP="0006332D">
      <w:pPr>
        <w:rPr>
          <w:b/>
          <w:noProof/>
          <w:color w:val="0D0D0D" w:themeColor="text1" w:themeTint="F2"/>
        </w:rPr>
      </w:pPr>
      <w:r w:rsidRPr="00C95DA2">
        <w:rPr>
          <w:b/>
          <w:noProof/>
          <w:color w:val="0D0D0D" w:themeColor="text1" w:themeTint="F2"/>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-31115</wp:posOffset>
            </wp:positionV>
            <wp:extent cx="1244600" cy="857885"/>
            <wp:effectExtent l="0" t="0" r="0" b="0"/>
            <wp:wrapNone/>
            <wp:docPr id="5" name="Picture 5" descr="Image result for european parlia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parliament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4600" cy="857885"/>
                    </a:xfrm>
                    <a:prstGeom prst="rect">
                      <a:avLst/>
                    </a:prstGeom>
                    <a:noFill/>
                  </pic:spPr>
                </pic:pic>
              </a:graphicData>
            </a:graphic>
          </wp:anchor>
        </w:drawing>
      </w:r>
    </w:p>
    <w:p w:rsidR="0006332D" w:rsidRPr="0006332D" w:rsidRDefault="0006332D" w:rsidP="0006332D">
      <w:pPr>
        <w:rPr>
          <w:b/>
          <w:noProof/>
          <w:color w:val="0D0D0D" w:themeColor="text1" w:themeTint="F2"/>
        </w:rPr>
      </w:pPr>
    </w:p>
    <w:p w:rsidR="0006332D" w:rsidRPr="0006332D" w:rsidRDefault="0006332D" w:rsidP="0006332D">
      <w:pPr>
        <w:rPr>
          <w:b/>
          <w:noProof/>
          <w:color w:val="0D0D0D" w:themeColor="text1" w:themeTint="F2"/>
        </w:rPr>
      </w:pPr>
    </w:p>
    <w:p w:rsidR="0006332D" w:rsidRPr="0006332D" w:rsidRDefault="0006332D" w:rsidP="0006332D">
      <w:pPr>
        <w:rPr>
          <w:b/>
          <w:noProof/>
          <w:color w:val="0D0D0D" w:themeColor="text1" w:themeTint="F2"/>
        </w:rPr>
      </w:pPr>
    </w:p>
    <w:p w:rsidR="0006332D" w:rsidRPr="0006332D" w:rsidRDefault="0006332D" w:rsidP="0006332D">
      <w:pPr>
        <w:rPr>
          <w:b/>
          <w:noProof/>
          <w:color w:val="0D0D0D" w:themeColor="text1" w:themeTint="F2"/>
        </w:rPr>
      </w:pPr>
    </w:p>
    <w:p w:rsidR="0086250F" w:rsidRPr="00C95DA2" w:rsidRDefault="00960C3E" w:rsidP="0086250F">
      <w:pPr>
        <w:rPr>
          <w:b/>
          <w:noProof/>
          <w:color w:val="0D0D0D" w:themeColor="text1" w:themeTint="F2"/>
        </w:rPr>
      </w:pPr>
      <w:r w:rsidRPr="00C95DA2">
        <w:rPr>
          <w:b/>
          <w:noProof/>
          <w:color w:val="0D0D0D" w:themeColor="text1" w:themeTint="F2"/>
        </w:rPr>
        <w:t>Dimitrios Papadimoulis</w:t>
      </w:r>
    </w:p>
    <w:p w:rsidR="00960C3E" w:rsidRPr="00C95DA2" w:rsidRDefault="00960C3E" w:rsidP="0086250F">
      <w:pPr>
        <w:rPr>
          <w:b/>
          <w:bCs/>
          <w:color w:val="0D0D0D" w:themeColor="text1" w:themeTint="F2"/>
          <w:lang w:val="en-GB"/>
        </w:rPr>
      </w:pPr>
      <w:r w:rsidRPr="00C95DA2">
        <w:rPr>
          <w:noProof/>
          <w:color w:val="0D0D0D" w:themeColor="text1" w:themeTint="F2"/>
        </w:rPr>
        <w:t>Vice-President of the European Parliament</w:t>
      </w:r>
    </w:p>
    <w:p w:rsidR="0086250F" w:rsidRPr="00C95DA2" w:rsidRDefault="0086250F" w:rsidP="0086250F">
      <w:pPr>
        <w:rPr>
          <w:color w:val="0D0D0D" w:themeColor="text1" w:themeTint="F2"/>
          <w:lang w:val="en-GB"/>
        </w:rPr>
      </w:pPr>
    </w:p>
    <w:p w:rsidR="00EA478F" w:rsidRPr="00C95DA2" w:rsidRDefault="00EA478F" w:rsidP="0086250F">
      <w:pPr>
        <w:rPr>
          <w:color w:val="0D0D0D" w:themeColor="text1" w:themeTint="F2"/>
          <w:lang w:val="en-GB"/>
        </w:rPr>
      </w:pPr>
    </w:p>
    <w:p w:rsidR="0086250F" w:rsidRPr="00C95DA2" w:rsidRDefault="00BA7BC7" w:rsidP="0086250F">
      <w:pPr>
        <w:spacing w:line="240" w:lineRule="auto"/>
        <w:rPr>
          <w:rFonts w:eastAsia="Times New Roman"/>
          <w:color w:val="0D0D0D" w:themeColor="text1" w:themeTint="F2"/>
          <w:lang w:val="en-GB"/>
        </w:rPr>
      </w:pPr>
      <w:r w:rsidRPr="00C95DA2">
        <w:rPr>
          <w:rFonts w:eastAsia="Times New Roman"/>
          <w:color w:val="0D0D0D" w:themeColor="text1" w:themeTint="F2"/>
          <w:lang w:val="en-GB"/>
        </w:rPr>
        <w:t>To the attention of:</w:t>
      </w:r>
    </w:p>
    <w:p w:rsidR="00BA7BC7" w:rsidRPr="00C95DA2" w:rsidRDefault="00BA7BC7" w:rsidP="0086250F">
      <w:pPr>
        <w:spacing w:line="240" w:lineRule="auto"/>
        <w:rPr>
          <w:rFonts w:eastAsia="Times New Roman"/>
          <w:color w:val="0D0D0D" w:themeColor="text1" w:themeTint="F2"/>
          <w:lang w:val="en-GB"/>
        </w:rPr>
      </w:pPr>
    </w:p>
    <w:p w:rsidR="00BA7BC7" w:rsidRPr="00C95DA2" w:rsidRDefault="001B341C" w:rsidP="0086250F">
      <w:pPr>
        <w:spacing w:line="240" w:lineRule="auto"/>
        <w:rPr>
          <w:rFonts w:eastAsia="Times New Roman"/>
          <w:b/>
          <w:color w:val="0D0D0D" w:themeColor="text1" w:themeTint="F2"/>
          <w:lang w:val="en-GB"/>
        </w:rPr>
      </w:pPr>
      <w:r w:rsidRPr="00C95DA2">
        <w:rPr>
          <w:rFonts w:eastAsia="Times New Roman"/>
          <w:b/>
          <w:color w:val="0D0D0D" w:themeColor="text1" w:themeTint="F2"/>
          <w:lang w:val="en-GB"/>
        </w:rPr>
        <w:t xml:space="preserve">Mr. </w:t>
      </w:r>
      <w:r w:rsidR="00BA7BC7" w:rsidRPr="00C95DA2">
        <w:rPr>
          <w:rFonts w:eastAsia="Times New Roman"/>
          <w:b/>
          <w:color w:val="0D0D0D" w:themeColor="text1" w:themeTint="F2"/>
          <w:lang w:val="en-GB"/>
        </w:rPr>
        <w:t xml:space="preserve">David Maria </w:t>
      </w:r>
      <w:proofErr w:type="spellStart"/>
      <w:r w:rsidR="00BA7BC7" w:rsidRPr="00C95DA2">
        <w:rPr>
          <w:rFonts w:eastAsia="Times New Roman"/>
          <w:b/>
          <w:color w:val="0D0D0D" w:themeColor="text1" w:themeTint="F2"/>
          <w:lang w:val="en-GB"/>
        </w:rPr>
        <w:t>Sassoli</w:t>
      </w:r>
      <w:proofErr w:type="spellEnd"/>
    </w:p>
    <w:p w:rsidR="00BA7BC7" w:rsidRDefault="00BA7BC7" w:rsidP="0086250F">
      <w:pPr>
        <w:spacing w:line="240" w:lineRule="auto"/>
        <w:rPr>
          <w:rFonts w:eastAsia="Times New Roman"/>
          <w:color w:val="0D0D0D" w:themeColor="text1" w:themeTint="F2"/>
          <w:lang w:val="en-GB"/>
        </w:rPr>
      </w:pPr>
      <w:r w:rsidRPr="00C95DA2">
        <w:rPr>
          <w:rFonts w:eastAsia="Times New Roman"/>
          <w:color w:val="0D0D0D" w:themeColor="text1" w:themeTint="F2"/>
          <w:lang w:val="en-GB"/>
        </w:rPr>
        <w:t>President of the European Parliament</w:t>
      </w:r>
    </w:p>
    <w:p w:rsidR="00D41015" w:rsidRDefault="00D41015" w:rsidP="0086250F">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Mr. Manfred Weber</w:t>
      </w:r>
    </w:p>
    <w:p w:rsidR="00D41015" w:rsidRPr="00194C6A" w:rsidRDefault="00D41015" w:rsidP="00D41015">
      <w:pPr>
        <w:spacing w:line="240" w:lineRule="auto"/>
        <w:rPr>
          <w:rFonts w:eastAsia="Times New Roman"/>
          <w:color w:val="0D0D0D" w:themeColor="text1" w:themeTint="F2"/>
          <w:lang w:val="en-GB"/>
        </w:rPr>
      </w:pPr>
      <w:r w:rsidRPr="00194C6A">
        <w:rPr>
          <w:rFonts w:eastAsia="Times New Roman"/>
          <w:color w:val="0D0D0D" w:themeColor="text1" w:themeTint="F2"/>
          <w:lang w:val="en-GB"/>
        </w:rPr>
        <w:t>President of the EPP Political Group in the European Parliament</w:t>
      </w:r>
    </w:p>
    <w:p w:rsidR="00D41015" w:rsidRPr="00194C6A" w:rsidRDefault="00D41015" w:rsidP="00D41015">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 xml:space="preserve">Mrs. </w:t>
      </w:r>
      <w:proofErr w:type="spellStart"/>
      <w:r w:rsidRPr="00194C6A">
        <w:rPr>
          <w:rFonts w:eastAsia="Times New Roman"/>
          <w:b/>
          <w:color w:val="0D0D0D" w:themeColor="text1" w:themeTint="F2"/>
          <w:lang w:val="en-GB"/>
        </w:rPr>
        <w:t>Iratxe</w:t>
      </w:r>
      <w:proofErr w:type="spellEnd"/>
      <w:r w:rsidRPr="00194C6A">
        <w:rPr>
          <w:rFonts w:eastAsia="Times New Roman"/>
          <w:b/>
          <w:color w:val="0D0D0D" w:themeColor="text1" w:themeTint="F2"/>
          <w:lang w:val="en-GB"/>
        </w:rPr>
        <w:t xml:space="preserve"> </w:t>
      </w:r>
      <w:proofErr w:type="spellStart"/>
      <w:r w:rsidRPr="00194C6A">
        <w:rPr>
          <w:rFonts w:eastAsia="Times New Roman"/>
          <w:b/>
          <w:color w:val="0D0D0D" w:themeColor="text1" w:themeTint="F2"/>
          <w:lang w:val="en-GB"/>
        </w:rPr>
        <w:t>García</w:t>
      </w:r>
      <w:proofErr w:type="spellEnd"/>
      <w:r w:rsidRPr="00194C6A">
        <w:rPr>
          <w:rFonts w:eastAsia="Times New Roman"/>
          <w:b/>
          <w:color w:val="0D0D0D" w:themeColor="text1" w:themeTint="F2"/>
          <w:lang w:val="en-GB"/>
        </w:rPr>
        <w:t xml:space="preserve"> </w:t>
      </w:r>
      <w:proofErr w:type="spellStart"/>
      <w:r w:rsidRPr="00194C6A">
        <w:rPr>
          <w:rFonts w:eastAsia="Times New Roman"/>
          <w:b/>
          <w:color w:val="0D0D0D" w:themeColor="text1" w:themeTint="F2"/>
          <w:lang w:val="en-GB"/>
        </w:rPr>
        <w:t>Pérez</w:t>
      </w:r>
      <w:proofErr w:type="spellEnd"/>
    </w:p>
    <w:p w:rsidR="00D41015" w:rsidRPr="00194C6A" w:rsidRDefault="00D41015" w:rsidP="00D41015">
      <w:pPr>
        <w:spacing w:line="240" w:lineRule="auto"/>
        <w:rPr>
          <w:rFonts w:eastAsia="Times New Roman"/>
          <w:color w:val="0D0D0D" w:themeColor="text1" w:themeTint="F2"/>
          <w:lang w:val="en-GB"/>
        </w:rPr>
      </w:pPr>
      <w:r w:rsidRPr="00194C6A">
        <w:rPr>
          <w:rFonts w:eastAsia="Times New Roman"/>
          <w:color w:val="0D0D0D" w:themeColor="text1" w:themeTint="F2"/>
          <w:lang w:val="en-GB"/>
        </w:rPr>
        <w:t>President of the S&amp;D Political Group in the European Parliament</w:t>
      </w:r>
    </w:p>
    <w:p w:rsidR="00D41015" w:rsidRPr="00194C6A" w:rsidRDefault="00D41015" w:rsidP="00D41015">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Mr. Dacian Cioloș</w:t>
      </w:r>
    </w:p>
    <w:p w:rsidR="00D41015" w:rsidRPr="00194C6A" w:rsidRDefault="00D41015" w:rsidP="00D41015">
      <w:pPr>
        <w:spacing w:line="240" w:lineRule="auto"/>
        <w:rPr>
          <w:rFonts w:eastAsia="Times New Roman"/>
          <w:color w:val="0D0D0D" w:themeColor="text1" w:themeTint="F2"/>
          <w:lang w:val="en-GB"/>
        </w:rPr>
      </w:pPr>
      <w:r w:rsidRPr="00194C6A">
        <w:rPr>
          <w:rFonts w:eastAsia="Times New Roman"/>
          <w:color w:val="0D0D0D" w:themeColor="text1" w:themeTint="F2"/>
          <w:lang w:val="en-GB"/>
        </w:rPr>
        <w:t>President of the Renew Europe Political Group in the European Parliament</w:t>
      </w:r>
    </w:p>
    <w:p w:rsidR="00D41015" w:rsidRPr="00194C6A" w:rsidRDefault="00D41015" w:rsidP="00D41015">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Mrs. Ska Keller and Mr. Philippe Lamberts</w:t>
      </w:r>
    </w:p>
    <w:p w:rsidR="00D41015" w:rsidRPr="00194C6A" w:rsidRDefault="00D41015" w:rsidP="00D41015">
      <w:pPr>
        <w:spacing w:line="240" w:lineRule="auto"/>
        <w:rPr>
          <w:rFonts w:eastAsia="Times New Roman"/>
          <w:color w:val="0D0D0D" w:themeColor="text1" w:themeTint="F2"/>
          <w:lang w:val="en-GB"/>
        </w:rPr>
      </w:pPr>
      <w:r w:rsidRPr="00194C6A">
        <w:rPr>
          <w:rFonts w:eastAsia="Times New Roman"/>
          <w:color w:val="0D0D0D" w:themeColor="text1" w:themeTint="F2"/>
          <w:lang w:val="en-GB"/>
        </w:rPr>
        <w:t>Co-Presidents of the Greens/EFA Political Group in the European Parliament</w:t>
      </w:r>
    </w:p>
    <w:p w:rsidR="00D41015" w:rsidRPr="00194C6A" w:rsidRDefault="00D41015" w:rsidP="00D41015">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 xml:space="preserve">Mr. </w:t>
      </w:r>
      <w:proofErr w:type="spellStart"/>
      <w:r w:rsidRPr="00194C6A">
        <w:rPr>
          <w:rFonts w:eastAsia="Times New Roman"/>
          <w:b/>
          <w:color w:val="0D0D0D" w:themeColor="text1" w:themeTint="F2"/>
          <w:lang w:val="en-GB"/>
        </w:rPr>
        <w:t>Ryszard</w:t>
      </w:r>
      <w:proofErr w:type="spellEnd"/>
      <w:r w:rsidRPr="00194C6A">
        <w:rPr>
          <w:rFonts w:eastAsia="Times New Roman"/>
          <w:b/>
          <w:color w:val="0D0D0D" w:themeColor="text1" w:themeTint="F2"/>
          <w:lang w:val="en-GB"/>
        </w:rPr>
        <w:t xml:space="preserve"> </w:t>
      </w:r>
      <w:proofErr w:type="spellStart"/>
      <w:r w:rsidRPr="00194C6A">
        <w:rPr>
          <w:rFonts w:eastAsia="Times New Roman"/>
          <w:b/>
          <w:color w:val="0D0D0D" w:themeColor="text1" w:themeTint="F2"/>
          <w:lang w:val="en-GB"/>
        </w:rPr>
        <w:t>Legutko</w:t>
      </w:r>
      <w:proofErr w:type="spellEnd"/>
      <w:r w:rsidRPr="00194C6A">
        <w:rPr>
          <w:rFonts w:eastAsia="Times New Roman"/>
          <w:b/>
          <w:color w:val="0D0D0D" w:themeColor="text1" w:themeTint="F2"/>
          <w:lang w:val="en-GB"/>
        </w:rPr>
        <w:t xml:space="preserve"> and Mr. </w:t>
      </w:r>
      <w:proofErr w:type="spellStart"/>
      <w:r w:rsidRPr="00194C6A">
        <w:rPr>
          <w:rFonts w:eastAsia="Times New Roman"/>
          <w:b/>
          <w:color w:val="0D0D0D" w:themeColor="text1" w:themeTint="F2"/>
          <w:lang w:val="en-GB"/>
        </w:rPr>
        <w:t>Raffaele</w:t>
      </w:r>
      <w:proofErr w:type="spellEnd"/>
      <w:r w:rsidRPr="00194C6A">
        <w:rPr>
          <w:rFonts w:eastAsia="Times New Roman"/>
          <w:b/>
          <w:color w:val="0D0D0D" w:themeColor="text1" w:themeTint="F2"/>
          <w:lang w:val="en-GB"/>
        </w:rPr>
        <w:t xml:space="preserve"> </w:t>
      </w:r>
      <w:proofErr w:type="spellStart"/>
      <w:r w:rsidRPr="00194C6A">
        <w:rPr>
          <w:rFonts w:eastAsia="Times New Roman"/>
          <w:b/>
          <w:color w:val="0D0D0D" w:themeColor="text1" w:themeTint="F2"/>
          <w:lang w:val="en-GB"/>
        </w:rPr>
        <w:t>Fitto</w:t>
      </w:r>
      <w:proofErr w:type="spellEnd"/>
    </w:p>
    <w:p w:rsidR="00D41015" w:rsidRPr="00194C6A" w:rsidRDefault="00D41015" w:rsidP="00D41015">
      <w:pPr>
        <w:spacing w:line="240" w:lineRule="auto"/>
        <w:rPr>
          <w:rFonts w:eastAsia="Times New Roman"/>
          <w:color w:val="0D0D0D" w:themeColor="text1" w:themeTint="F2"/>
          <w:lang w:val="en-GB"/>
        </w:rPr>
      </w:pPr>
      <w:r w:rsidRPr="00194C6A">
        <w:rPr>
          <w:rFonts w:eastAsia="Times New Roman"/>
          <w:color w:val="0D0D0D" w:themeColor="text1" w:themeTint="F2"/>
          <w:lang w:val="en-GB"/>
        </w:rPr>
        <w:t>Co-Presidents of the ECR Political Group in the European Parliament</w:t>
      </w:r>
    </w:p>
    <w:p w:rsidR="00D41015" w:rsidRPr="00194C6A" w:rsidRDefault="00D41015" w:rsidP="00D41015">
      <w:pPr>
        <w:spacing w:line="240" w:lineRule="auto"/>
        <w:rPr>
          <w:rFonts w:eastAsia="Times New Roman"/>
          <w:color w:val="0D0D0D" w:themeColor="text1" w:themeTint="F2"/>
          <w:lang w:val="en-GB"/>
        </w:rPr>
      </w:pPr>
    </w:p>
    <w:p w:rsidR="00D41015" w:rsidRPr="00194C6A" w:rsidRDefault="00D41015" w:rsidP="00D41015">
      <w:pPr>
        <w:spacing w:line="240" w:lineRule="auto"/>
        <w:rPr>
          <w:rFonts w:eastAsia="Times New Roman"/>
          <w:b/>
          <w:color w:val="0D0D0D" w:themeColor="text1" w:themeTint="F2"/>
          <w:lang w:val="en-GB"/>
        </w:rPr>
      </w:pPr>
      <w:r w:rsidRPr="00194C6A">
        <w:rPr>
          <w:rFonts w:eastAsia="Times New Roman"/>
          <w:b/>
          <w:color w:val="0D0D0D" w:themeColor="text1" w:themeTint="F2"/>
          <w:lang w:val="en-GB"/>
        </w:rPr>
        <w:t xml:space="preserve">Mrs. </w:t>
      </w:r>
      <w:proofErr w:type="spellStart"/>
      <w:r w:rsidRPr="00194C6A">
        <w:rPr>
          <w:rFonts w:eastAsia="Times New Roman"/>
          <w:b/>
          <w:color w:val="0D0D0D" w:themeColor="text1" w:themeTint="F2"/>
          <w:lang w:val="en-GB"/>
        </w:rPr>
        <w:t>Manon</w:t>
      </w:r>
      <w:proofErr w:type="spellEnd"/>
      <w:r w:rsidRPr="00194C6A">
        <w:rPr>
          <w:rFonts w:eastAsia="Times New Roman"/>
          <w:b/>
          <w:color w:val="0D0D0D" w:themeColor="text1" w:themeTint="F2"/>
          <w:lang w:val="en-GB"/>
        </w:rPr>
        <w:t xml:space="preserve"> </w:t>
      </w:r>
      <w:proofErr w:type="spellStart"/>
      <w:r w:rsidRPr="00194C6A">
        <w:rPr>
          <w:rFonts w:eastAsia="Times New Roman"/>
          <w:b/>
          <w:color w:val="0D0D0D" w:themeColor="text1" w:themeTint="F2"/>
          <w:lang w:val="en-GB"/>
        </w:rPr>
        <w:t>Aubry</w:t>
      </w:r>
      <w:proofErr w:type="spellEnd"/>
      <w:r w:rsidRPr="00194C6A">
        <w:rPr>
          <w:rFonts w:eastAsia="Times New Roman"/>
          <w:b/>
          <w:color w:val="0D0D0D" w:themeColor="text1" w:themeTint="F2"/>
          <w:lang w:val="en-GB"/>
        </w:rPr>
        <w:t xml:space="preserve"> and Mr. Martin </w:t>
      </w:r>
      <w:proofErr w:type="spellStart"/>
      <w:r w:rsidRPr="00194C6A">
        <w:rPr>
          <w:rFonts w:eastAsia="Times New Roman"/>
          <w:b/>
          <w:color w:val="0D0D0D" w:themeColor="text1" w:themeTint="F2"/>
          <w:lang w:val="en-GB"/>
        </w:rPr>
        <w:t>Schirdewan</w:t>
      </w:r>
      <w:proofErr w:type="spellEnd"/>
    </w:p>
    <w:p w:rsidR="00D41015" w:rsidRPr="00194C6A" w:rsidRDefault="00D41015" w:rsidP="00D41015">
      <w:pPr>
        <w:spacing w:line="240" w:lineRule="auto"/>
        <w:rPr>
          <w:color w:val="0D0D0D" w:themeColor="text1" w:themeTint="F2"/>
          <w:lang w:val="en-GB"/>
        </w:rPr>
      </w:pPr>
      <w:r w:rsidRPr="00194C6A">
        <w:rPr>
          <w:rFonts w:eastAsia="Times New Roman"/>
          <w:color w:val="0D0D0D" w:themeColor="text1" w:themeTint="F2"/>
          <w:lang w:val="en-GB"/>
        </w:rPr>
        <w:t>Co-Presidents of the GUE/NGL Political Group in the European Parliament</w:t>
      </w:r>
    </w:p>
    <w:p w:rsidR="00D41015" w:rsidRPr="00194C6A" w:rsidRDefault="00D41015" w:rsidP="0086250F">
      <w:pPr>
        <w:spacing w:line="240" w:lineRule="auto"/>
        <w:rPr>
          <w:rFonts w:eastAsia="Times New Roman"/>
          <w:color w:val="0D0D0D" w:themeColor="text1" w:themeTint="F2"/>
          <w:lang w:val="en-GB"/>
        </w:rPr>
      </w:pPr>
    </w:p>
    <w:p w:rsidR="00DC192C" w:rsidRPr="00194C6A" w:rsidRDefault="00DC192C" w:rsidP="0086250F">
      <w:pPr>
        <w:spacing w:line="240" w:lineRule="auto"/>
        <w:rPr>
          <w:rFonts w:eastAsia="Times New Roman"/>
          <w:color w:val="0D0D0D" w:themeColor="text1" w:themeTint="F2"/>
          <w:lang w:val="en-GB"/>
        </w:rPr>
      </w:pPr>
    </w:p>
    <w:p w:rsidR="00DC192C" w:rsidRPr="00194C6A" w:rsidRDefault="00DC192C" w:rsidP="00DC192C">
      <w:pPr>
        <w:spacing w:line="240" w:lineRule="auto"/>
        <w:rPr>
          <w:rFonts w:eastAsia="Times New Roman"/>
          <w:color w:val="0D0D0D" w:themeColor="text1" w:themeTint="F2"/>
          <w:lang w:val="en-GB"/>
        </w:rPr>
      </w:pPr>
    </w:p>
    <w:p w:rsidR="00B87BF5" w:rsidRPr="00194C6A" w:rsidRDefault="00D41015" w:rsidP="00960C3E">
      <w:pPr>
        <w:jc w:val="right"/>
        <w:rPr>
          <w:color w:val="0D0D0D" w:themeColor="text1" w:themeTint="F2"/>
          <w:lang w:val="en-US"/>
        </w:rPr>
      </w:pPr>
      <w:r w:rsidRPr="00194C6A">
        <w:rPr>
          <w:color w:val="0D0D0D" w:themeColor="text1" w:themeTint="F2"/>
          <w:lang w:val="en-US"/>
        </w:rPr>
        <w:t>16</w:t>
      </w:r>
      <w:r w:rsidR="00292F6B" w:rsidRPr="00194C6A">
        <w:rPr>
          <w:color w:val="0D0D0D" w:themeColor="text1" w:themeTint="F2"/>
          <w:lang w:val="en-US"/>
        </w:rPr>
        <w:t xml:space="preserve"> </w:t>
      </w:r>
      <w:r w:rsidRPr="00194C6A">
        <w:rPr>
          <w:color w:val="0D0D0D" w:themeColor="text1" w:themeTint="F2"/>
          <w:lang w:val="en-US"/>
        </w:rPr>
        <w:t>November</w:t>
      </w:r>
      <w:r w:rsidR="00292F6B" w:rsidRPr="00194C6A">
        <w:rPr>
          <w:color w:val="0D0D0D" w:themeColor="text1" w:themeTint="F2"/>
          <w:lang w:val="en-US"/>
        </w:rPr>
        <w:t xml:space="preserve"> 2020</w:t>
      </w:r>
    </w:p>
    <w:p w:rsidR="009D2E78" w:rsidRPr="00194C6A" w:rsidRDefault="009D2E78" w:rsidP="009D2E78">
      <w:pPr>
        <w:spacing w:line="240" w:lineRule="auto"/>
        <w:rPr>
          <w:rFonts w:eastAsia="Times New Roman"/>
          <w:color w:val="0D0D0D" w:themeColor="text1" w:themeTint="F2"/>
          <w:lang w:val="en-GB"/>
        </w:rPr>
      </w:pPr>
    </w:p>
    <w:p w:rsidR="009D2E78" w:rsidRPr="00194C6A" w:rsidRDefault="009D2E78" w:rsidP="009D2E78">
      <w:pPr>
        <w:rPr>
          <w:color w:val="0D0D0D" w:themeColor="text1" w:themeTint="F2"/>
          <w:lang w:val="en-US"/>
        </w:rPr>
      </w:pPr>
    </w:p>
    <w:p w:rsidR="00B87BF5" w:rsidRPr="00194C6A" w:rsidRDefault="00FD15C8" w:rsidP="0082517E">
      <w:pPr>
        <w:tabs>
          <w:tab w:val="left" w:pos="993"/>
        </w:tabs>
        <w:ind w:left="990" w:hanging="990"/>
        <w:jc w:val="both"/>
        <w:rPr>
          <w:color w:val="0D0D0D" w:themeColor="text1" w:themeTint="F2"/>
          <w:lang w:val="en-US"/>
        </w:rPr>
      </w:pPr>
      <w:r w:rsidRPr="00194C6A">
        <w:rPr>
          <w:b/>
          <w:bCs/>
          <w:color w:val="0D0D0D" w:themeColor="text1" w:themeTint="F2"/>
          <w:lang w:val="en-US"/>
        </w:rPr>
        <w:t>Subject:</w:t>
      </w:r>
      <w:r w:rsidRPr="00194C6A">
        <w:rPr>
          <w:b/>
          <w:bCs/>
          <w:color w:val="0D0D0D" w:themeColor="text1" w:themeTint="F2"/>
          <w:lang w:val="en-US"/>
        </w:rPr>
        <w:tab/>
      </w:r>
      <w:r w:rsidR="003549CC" w:rsidRPr="00194C6A">
        <w:rPr>
          <w:b/>
          <w:bCs/>
          <w:color w:val="0D0D0D" w:themeColor="text1" w:themeTint="F2"/>
          <w:lang w:val="en-GB"/>
        </w:rPr>
        <w:t>Total</w:t>
      </w:r>
      <w:r w:rsidR="0082517E" w:rsidRPr="00194C6A">
        <w:rPr>
          <w:b/>
          <w:bCs/>
          <w:color w:val="0D0D0D" w:themeColor="text1" w:themeTint="F2"/>
          <w:lang w:val="en-GB"/>
        </w:rPr>
        <w:t xml:space="preserve"> prohibition of any public gathering of more than three persons throughout Greece from 15 November until 18 November 2020 </w:t>
      </w:r>
    </w:p>
    <w:p w:rsidR="00C32640" w:rsidRPr="00194C6A" w:rsidRDefault="00C32640" w:rsidP="00960C3E">
      <w:pPr>
        <w:jc w:val="both"/>
        <w:rPr>
          <w:color w:val="0D0D0D" w:themeColor="text1" w:themeTint="F2"/>
          <w:lang w:val="en-GB"/>
        </w:rPr>
      </w:pPr>
    </w:p>
    <w:p w:rsidR="00960C3E" w:rsidRPr="00194C6A" w:rsidRDefault="00960C3E" w:rsidP="00960C3E">
      <w:pPr>
        <w:jc w:val="both"/>
        <w:rPr>
          <w:color w:val="0D0D0D" w:themeColor="text1" w:themeTint="F2"/>
          <w:lang w:val="en-GB"/>
        </w:rPr>
      </w:pPr>
      <w:r w:rsidRPr="00194C6A">
        <w:rPr>
          <w:color w:val="0D0D0D" w:themeColor="text1" w:themeTint="F2"/>
          <w:lang w:val="en-GB"/>
        </w:rPr>
        <w:t xml:space="preserve">Dear President </w:t>
      </w:r>
      <w:proofErr w:type="spellStart"/>
      <w:r w:rsidRPr="00194C6A">
        <w:rPr>
          <w:color w:val="0D0D0D" w:themeColor="text1" w:themeTint="F2"/>
          <w:lang w:val="en-GB"/>
        </w:rPr>
        <w:t>Sassoli</w:t>
      </w:r>
      <w:proofErr w:type="spellEnd"/>
      <w:r w:rsidRPr="00194C6A">
        <w:rPr>
          <w:color w:val="0D0D0D" w:themeColor="text1" w:themeTint="F2"/>
          <w:lang w:val="en-GB"/>
        </w:rPr>
        <w:t>,</w:t>
      </w:r>
    </w:p>
    <w:p w:rsidR="00D41015" w:rsidRPr="00194C6A" w:rsidRDefault="00D41015" w:rsidP="00960C3E">
      <w:pPr>
        <w:jc w:val="both"/>
        <w:rPr>
          <w:color w:val="0D0D0D" w:themeColor="text1" w:themeTint="F2"/>
          <w:lang w:val="en-GB"/>
        </w:rPr>
      </w:pPr>
    </w:p>
    <w:p w:rsidR="00D41015" w:rsidRPr="00194C6A" w:rsidRDefault="00D41015" w:rsidP="00960C3E">
      <w:pPr>
        <w:jc w:val="both"/>
        <w:rPr>
          <w:color w:val="0D0D0D" w:themeColor="text1" w:themeTint="F2"/>
          <w:lang w:val="en-GB"/>
        </w:rPr>
      </w:pPr>
      <w:r w:rsidRPr="00194C6A">
        <w:rPr>
          <w:color w:val="0D0D0D" w:themeColor="text1" w:themeTint="F2"/>
          <w:lang w:val="en-GB"/>
        </w:rPr>
        <w:t>Dear Presidents of the Political Groups,</w:t>
      </w:r>
    </w:p>
    <w:p w:rsidR="001F06F6" w:rsidRPr="00194C6A" w:rsidRDefault="001F06F6" w:rsidP="00960C3E">
      <w:pPr>
        <w:jc w:val="both"/>
        <w:rPr>
          <w:color w:val="0D0D0D" w:themeColor="text1" w:themeTint="F2"/>
          <w:lang w:val="en-GB"/>
        </w:rPr>
      </w:pPr>
    </w:p>
    <w:p w:rsidR="00D41015" w:rsidRPr="00194C6A" w:rsidRDefault="00D41015" w:rsidP="00D41015">
      <w:pPr>
        <w:jc w:val="both"/>
        <w:rPr>
          <w:color w:val="0D0D0D" w:themeColor="text1" w:themeTint="F2"/>
          <w:lang w:val="en-GB"/>
        </w:rPr>
      </w:pPr>
      <w:r w:rsidRPr="00194C6A">
        <w:rPr>
          <w:color w:val="0D0D0D" w:themeColor="text1" w:themeTint="F2"/>
          <w:lang w:val="en-GB"/>
        </w:rPr>
        <w:t xml:space="preserve">Since the </w:t>
      </w:r>
      <w:r w:rsidR="00ED66ED" w:rsidRPr="00194C6A">
        <w:rPr>
          <w:color w:val="0D0D0D" w:themeColor="text1" w:themeTint="F2"/>
          <w:lang w:val="en-GB"/>
        </w:rPr>
        <w:t xml:space="preserve">outbreak </w:t>
      </w:r>
      <w:r w:rsidRPr="00194C6A">
        <w:rPr>
          <w:color w:val="0D0D0D" w:themeColor="text1" w:themeTint="F2"/>
          <w:lang w:val="en-GB"/>
        </w:rPr>
        <w:t>of the pandemic, the Parliament has taken all necessary measures to ensure continuity and its proper functioning, guaranteeing democracy at the highest EU level. Moreover, the Parliament</w:t>
      </w:r>
      <w:r w:rsidR="00ED66ED" w:rsidRPr="00194C6A">
        <w:rPr>
          <w:color w:val="0D0D0D" w:themeColor="text1" w:themeTint="F2"/>
          <w:lang w:val="en-GB"/>
        </w:rPr>
        <w:t>,</w:t>
      </w:r>
      <w:r w:rsidRPr="00194C6A">
        <w:rPr>
          <w:color w:val="0D0D0D" w:themeColor="text1" w:themeTint="F2"/>
          <w:lang w:val="en-GB"/>
        </w:rPr>
        <w:t xml:space="preserve"> in its </w:t>
      </w:r>
      <w:r w:rsidR="007141CB" w:rsidRPr="00194C6A">
        <w:rPr>
          <w:color w:val="0D0D0D" w:themeColor="text1" w:themeTint="F2"/>
          <w:lang w:val="en-GB"/>
        </w:rPr>
        <w:t xml:space="preserve">resolution of </w:t>
      </w:r>
      <w:r w:rsidRPr="00194C6A">
        <w:rPr>
          <w:color w:val="0D0D0D" w:themeColor="text1" w:themeTint="F2"/>
          <w:lang w:val="en-GB"/>
        </w:rPr>
        <w:t>13 November 2020, underlined that even in emergency situations, the fundamental principles of rule of law, democracy and the respect of fundamental rights should prevail</w:t>
      </w:r>
      <w:r w:rsidR="003549CC" w:rsidRPr="00194C6A">
        <w:rPr>
          <w:rStyle w:val="FootnoteReference"/>
          <w:color w:val="0D0D0D" w:themeColor="text1" w:themeTint="F2"/>
          <w:lang w:val="en-GB"/>
        </w:rPr>
        <w:footnoteReference w:id="1"/>
      </w:r>
      <w:r w:rsidRPr="00194C6A">
        <w:rPr>
          <w:color w:val="0D0D0D" w:themeColor="text1" w:themeTint="F2"/>
          <w:lang w:val="en-GB"/>
        </w:rPr>
        <w:t>.</w:t>
      </w:r>
      <w:r w:rsidR="006D3F27" w:rsidRPr="00194C6A">
        <w:rPr>
          <w:color w:val="0D0D0D" w:themeColor="text1" w:themeTint="F2"/>
          <w:lang w:val="en-GB"/>
        </w:rPr>
        <w:t xml:space="preserve"> </w:t>
      </w:r>
    </w:p>
    <w:p w:rsidR="00D41015" w:rsidRPr="00194C6A" w:rsidRDefault="00D41015" w:rsidP="00D41015">
      <w:pPr>
        <w:jc w:val="both"/>
        <w:rPr>
          <w:color w:val="0D0D0D" w:themeColor="text1" w:themeTint="F2"/>
          <w:lang w:val="en-US"/>
        </w:rPr>
      </w:pPr>
      <w:r w:rsidRPr="00194C6A">
        <w:rPr>
          <w:color w:val="0D0D0D" w:themeColor="text1" w:themeTint="F2"/>
          <w:lang w:val="en-GB"/>
        </w:rPr>
        <w:lastRenderedPageBreak/>
        <w:t xml:space="preserve">The </w:t>
      </w:r>
      <w:r w:rsidR="007141CB" w:rsidRPr="00194C6A">
        <w:rPr>
          <w:color w:val="0D0D0D" w:themeColor="text1" w:themeTint="F2"/>
          <w:lang w:val="en-GB"/>
        </w:rPr>
        <w:t>C</w:t>
      </w:r>
      <w:r w:rsidRPr="00194C6A">
        <w:rPr>
          <w:color w:val="0D0D0D" w:themeColor="text1" w:themeTint="F2"/>
          <w:lang w:val="en-GB"/>
        </w:rPr>
        <w:t xml:space="preserve">ovid-19 pandemic has been used as an excuse in some countries, even in EU </w:t>
      </w:r>
      <w:r w:rsidR="007141CB" w:rsidRPr="00194C6A">
        <w:rPr>
          <w:color w:val="0D0D0D" w:themeColor="text1" w:themeTint="F2"/>
          <w:lang w:val="en-GB"/>
        </w:rPr>
        <w:t>M</w:t>
      </w:r>
      <w:r w:rsidRPr="00194C6A">
        <w:rPr>
          <w:color w:val="0D0D0D" w:themeColor="text1" w:themeTint="F2"/>
          <w:lang w:val="en-GB"/>
        </w:rPr>
        <w:t xml:space="preserve">ember </w:t>
      </w:r>
      <w:r w:rsidR="007141CB" w:rsidRPr="00194C6A">
        <w:rPr>
          <w:color w:val="0D0D0D" w:themeColor="text1" w:themeTint="F2"/>
          <w:lang w:val="en-GB"/>
        </w:rPr>
        <w:t>S</w:t>
      </w:r>
      <w:r w:rsidRPr="00194C6A">
        <w:rPr>
          <w:color w:val="0D0D0D" w:themeColor="text1" w:themeTint="F2"/>
          <w:lang w:val="en-GB"/>
        </w:rPr>
        <w:t xml:space="preserve">tates, for the imposition of measures, which undermine democracy and the rule of law. The Parliament has already identified and condemned with relevant resolutions such cases in Hungary and Poland. The Commission, in its </w:t>
      </w:r>
      <w:r w:rsidR="007141CB" w:rsidRPr="00194C6A">
        <w:rPr>
          <w:color w:val="0D0D0D" w:themeColor="text1" w:themeTint="F2"/>
        </w:rPr>
        <w:t>2020 Rule of Law Report</w:t>
      </w:r>
      <w:r w:rsidRPr="00194C6A">
        <w:rPr>
          <w:color w:val="0D0D0D" w:themeColor="text1" w:themeTint="F2"/>
          <w:lang w:val="en-GB"/>
        </w:rPr>
        <w:t>, has also underlined certain and dangerous shortcomings in rule of law issues throughout the Union</w:t>
      </w:r>
      <w:r w:rsidR="003549CC" w:rsidRPr="00194C6A">
        <w:rPr>
          <w:rStyle w:val="FootnoteReference"/>
          <w:color w:val="0D0D0D" w:themeColor="text1" w:themeTint="F2"/>
          <w:lang w:val="en-GB"/>
        </w:rPr>
        <w:footnoteReference w:id="2"/>
      </w:r>
      <w:r w:rsidRPr="00194C6A">
        <w:rPr>
          <w:color w:val="0D0D0D" w:themeColor="text1" w:themeTint="F2"/>
          <w:lang w:val="en-GB"/>
        </w:rPr>
        <w:t xml:space="preserve">. </w:t>
      </w:r>
    </w:p>
    <w:p w:rsidR="00F15C17" w:rsidRPr="00194C6A" w:rsidRDefault="00F15C17" w:rsidP="00D41015">
      <w:pPr>
        <w:jc w:val="both"/>
        <w:rPr>
          <w:color w:val="0D0D0D" w:themeColor="text1" w:themeTint="F2"/>
          <w:lang w:val="en-US"/>
        </w:rPr>
      </w:pPr>
    </w:p>
    <w:p w:rsidR="00D41015" w:rsidRPr="00194C6A" w:rsidRDefault="00D41015" w:rsidP="00D41015">
      <w:pPr>
        <w:jc w:val="both"/>
        <w:rPr>
          <w:color w:val="0D0D0D" w:themeColor="text1" w:themeTint="F2"/>
          <w:lang w:val="en-GB"/>
        </w:rPr>
      </w:pPr>
      <w:r w:rsidRPr="00194C6A">
        <w:rPr>
          <w:color w:val="0D0D0D" w:themeColor="text1" w:themeTint="F2"/>
          <w:lang w:val="en-GB"/>
        </w:rPr>
        <w:t xml:space="preserve">This year, in the occasion of the commemoration of the 17 November 1973 anti-fascist student revolution against the Greek dictatorship, the organisers </w:t>
      </w:r>
      <w:r w:rsidR="00ED66ED" w:rsidRPr="00194C6A">
        <w:rPr>
          <w:color w:val="0D0D0D" w:themeColor="text1" w:themeTint="F2"/>
          <w:lang w:val="en-GB"/>
        </w:rPr>
        <w:t>had</w:t>
      </w:r>
      <w:r w:rsidRPr="00194C6A">
        <w:rPr>
          <w:color w:val="0D0D0D" w:themeColor="text1" w:themeTint="F2"/>
          <w:lang w:val="en-GB"/>
        </w:rPr>
        <w:t xml:space="preserve"> already decided to take very strict measures of social distancing and preventive actions for the protection of the public health against the pandemic. The Greek government</w:t>
      </w:r>
      <w:r w:rsidR="00ED66ED" w:rsidRPr="00194C6A">
        <w:rPr>
          <w:color w:val="0D0D0D" w:themeColor="text1" w:themeTint="F2"/>
          <w:lang w:val="en-GB"/>
        </w:rPr>
        <w:t>,</w:t>
      </w:r>
      <w:r w:rsidRPr="00194C6A">
        <w:rPr>
          <w:color w:val="0D0D0D" w:themeColor="text1" w:themeTint="F2"/>
          <w:lang w:val="en-GB"/>
        </w:rPr>
        <w:t xml:space="preserve"> instead of coordinating with the organisers for the proper organisation of these restricted events, regrettably decided to prohibit, specifically from 15 November </w:t>
      </w:r>
      <w:r w:rsidR="006D3F27" w:rsidRPr="00194C6A">
        <w:rPr>
          <w:color w:val="0D0D0D" w:themeColor="text1" w:themeTint="F2"/>
          <w:lang w:val="en-GB"/>
        </w:rPr>
        <w:t>until</w:t>
      </w:r>
      <w:r w:rsidRPr="00194C6A">
        <w:rPr>
          <w:color w:val="0D0D0D" w:themeColor="text1" w:themeTint="F2"/>
          <w:lang w:val="en-GB"/>
        </w:rPr>
        <w:t xml:space="preserve"> 18 November, any public gathering of more than </w:t>
      </w:r>
      <w:r w:rsidR="006D3F27" w:rsidRPr="00194C6A">
        <w:rPr>
          <w:color w:val="0D0D0D" w:themeColor="text1" w:themeTint="F2"/>
          <w:lang w:val="en-GB"/>
        </w:rPr>
        <w:t>three</w:t>
      </w:r>
      <w:r w:rsidRPr="00194C6A">
        <w:rPr>
          <w:color w:val="0D0D0D" w:themeColor="text1" w:themeTint="F2"/>
          <w:lang w:val="en-GB"/>
        </w:rPr>
        <w:t xml:space="preserve"> persons </w:t>
      </w:r>
      <w:r w:rsidR="006D3F27" w:rsidRPr="00194C6A">
        <w:rPr>
          <w:color w:val="0D0D0D" w:themeColor="text1" w:themeTint="F2"/>
          <w:lang w:val="en-GB"/>
        </w:rPr>
        <w:t>throughout</w:t>
      </w:r>
      <w:r w:rsidRPr="00194C6A">
        <w:rPr>
          <w:color w:val="0D0D0D" w:themeColor="text1" w:themeTint="F2"/>
          <w:lang w:val="en-GB"/>
        </w:rPr>
        <w:t xml:space="preserve"> the whole country, with the excuse that especially for that period the tightening of the measures against the pandemic is necessary. This unprecedented and extreme decision actually targets particularly and on purpose any commemoration of this important and historic event for democracy in Greece and Europe.</w:t>
      </w:r>
      <w:r w:rsidR="006D3F27" w:rsidRPr="00194C6A">
        <w:rPr>
          <w:color w:val="0D0D0D" w:themeColor="text1" w:themeTint="F2"/>
          <w:lang w:val="en-GB"/>
        </w:rPr>
        <w:t xml:space="preserve"> </w:t>
      </w:r>
    </w:p>
    <w:p w:rsidR="00F15C17" w:rsidRPr="00194C6A" w:rsidRDefault="00F15C17" w:rsidP="00D41015">
      <w:pPr>
        <w:jc w:val="both"/>
        <w:rPr>
          <w:color w:val="0D0D0D" w:themeColor="text1" w:themeTint="F2"/>
          <w:lang w:val="en-GB"/>
        </w:rPr>
      </w:pPr>
    </w:p>
    <w:p w:rsidR="00D41015" w:rsidRPr="00194C6A" w:rsidRDefault="00D41015" w:rsidP="00D41015">
      <w:pPr>
        <w:jc w:val="both"/>
        <w:rPr>
          <w:color w:val="0D0D0D" w:themeColor="text1" w:themeTint="F2"/>
          <w:lang w:val="en-GB"/>
        </w:rPr>
      </w:pPr>
      <w:r w:rsidRPr="00194C6A">
        <w:rPr>
          <w:color w:val="0D0D0D" w:themeColor="text1" w:themeTint="F2"/>
          <w:lang w:val="en-GB"/>
        </w:rPr>
        <w:t xml:space="preserve">This unacceptable decision of the Greek government is similar </w:t>
      </w:r>
      <w:r w:rsidR="00ED66ED" w:rsidRPr="00194C6A">
        <w:rPr>
          <w:color w:val="0D0D0D" w:themeColor="text1" w:themeTint="F2"/>
          <w:lang w:val="en-GB"/>
        </w:rPr>
        <w:t>to</w:t>
      </w:r>
      <w:r w:rsidRPr="00194C6A">
        <w:rPr>
          <w:color w:val="0D0D0D" w:themeColor="text1" w:themeTint="F2"/>
          <w:lang w:val="en-GB"/>
        </w:rPr>
        <w:t xml:space="preserve"> decisions taken only twice in Greece in the past, on 21 April during the military coup and on 17 November 1973. The total prohibition of gathering</w:t>
      </w:r>
      <w:r w:rsidR="00ED66ED" w:rsidRPr="00194C6A">
        <w:rPr>
          <w:color w:val="0D0D0D" w:themeColor="text1" w:themeTint="F2"/>
          <w:lang w:val="en-GB"/>
        </w:rPr>
        <w:t xml:space="preserve"> fully suspends</w:t>
      </w:r>
      <w:r w:rsidRPr="00194C6A">
        <w:rPr>
          <w:color w:val="0D0D0D" w:themeColor="text1" w:themeTint="F2"/>
          <w:lang w:val="en-GB"/>
        </w:rPr>
        <w:t xml:space="preserve"> </w:t>
      </w:r>
      <w:r w:rsidR="00ED66ED" w:rsidRPr="00194C6A">
        <w:rPr>
          <w:color w:val="0D0D0D" w:themeColor="text1" w:themeTint="F2"/>
          <w:lang w:val="en-GB"/>
        </w:rPr>
        <w:t>the</w:t>
      </w:r>
      <w:r w:rsidRPr="00194C6A">
        <w:rPr>
          <w:color w:val="0D0D0D" w:themeColor="text1" w:themeTint="F2"/>
          <w:lang w:val="en-GB"/>
        </w:rPr>
        <w:t xml:space="preserve"> fundamental right</w:t>
      </w:r>
      <w:r w:rsidR="00ED66ED" w:rsidRPr="00194C6A">
        <w:rPr>
          <w:color w:val="0D0D0D" w:themeColor="text1" w:themeTint="F2"/>
          <w:lang w:val="en-GB"/>
        </w:rPr>
        <w:t xml:space="preserve"> </w:t>
      </w:r>
      <w:r w:rsidR="00623DB5" w:rsidRPr="00194C6A">
        <w:rPr>
          <w:color w:val="0D0D0D" w:themeColor="text1" w:themeTint="F2"/>
          <w:lang w:val="en-GB"/>
        </w:rPr>
        <w:t>to</w:t>
      </w:r>
      <w:r w:rsidR="00ED66ED" w:rsidRPr="00194C6A">
        <w:rPr>
          <w:color w:val="0D0D0D" w:themeColor="text1" w:themeTint="F2"/>
          <w:lang w:val="en-GB"/>
        </w:rPr>
        <w:t xml:space="preserve"> assembly</w:t>
      </w:r>
      <w:r w:rsidRPr="00194C6A">
        <w:rPr>
          <w:color w:val="0D0D0D" w:themeColor="text1" w:themeTint="F2"/>
          <w:lang w:val="en-GB"/>
        </w:rPr>
        <w:t xml:space="preserve">, as </w:t>
      </w:r>
      <w:r w:rsidR="00ED66ED" w:rsidRPr="00194C6A">
        <w:rPr>
          <w:color w:val="0D0D0D" w:themeColor="text1" w:themeTint="F2"/>
          <w:lang w:val="en-GB"/>
        </w:rPr>
        <w:t xml:space="preserve">enshrined </w:t>
      </w:r>
      <w:r w:rsidRPr="00194C6A">
        <w:rPr>
          <w:color w:val="0D0D0D" w:themeColor="text1" w:themeTint="F2"/>
          <w:lang w:val="en-GB"/>
        </w:rPr>
        <w:t xml:space="preserve">in </w:t>
      </w:r>
      <w:r w:rsidR="00ED66ED" w:rsidRPr="00194C6A">
        <w:rPr>
          <w:color w:val="0D0D0D" w:themeColor="text1" w:themeTint="F2"/>
          <w:lang w:val="en-GB"/>
        </w:rPr>
        <w:t>A</w:t>
      </w:r>
      <w:r w:rsidRPr="00194C6A">
        <w:rPr>
          <w:color w:val="0D0D0D" w:themeColor="text1" w:themeTint="F2"/>
          <w:lang w:val="en-GB"/>
        </w:rPr>
        <w:t xml:space="preserve">rticle 11 of the Greek Constitution, </w:t>
      </w:r>
      <w:r w:rsidR="00ED66ED" w:rsidRPr="00194C6A">
        <w:rPr>
          <w:color w:val="0D0D0D" w:themeColor="text1" w:themeTint="F2"/>
          <w:lang w:val="en-GB"/>
        </w:rPr>
        <w:t>A</w:t>
      </w:r>
      <w:r w:rsidRPr="00194C6A">
        <w:rPr>
          <w:color w:val="0D0D0D" w:themeColor="text1" w:themeTint="F2"/>
          <w:lang w:val="en-GB"/>
        </w:rPr>
        <w:t xml:space="preserve">rticle 11 of the ECHR and </w:t>
      </w:r>
      <w:r w:rsidR="00ED66ED" w:rsidRPr="00194C6A">
        <w:rPr>
          <w:color w:val="0D0D0D" w:themeColor="text1" w:themeTint="F2"/>
          <w:lang w:val="en-GB"/>
        </w:rPr>
        <w:t>A</w:t>
      </w:r>
      <w:r w:rsidRPr="00194C6A">
        <w:rPr>
          <w:color w:val="0D0D0D" w:themeColor="text1" w:themeTint="F2"/>
          <w:lang w:val="en-GB"/>
        </w:rPr>
        <w:t>rticle 12 of the Charter of Fundamental Rights</w:t>
      </w:r>
      <w:r w:rsidR="008A244C" w:rsidRPr="00194C6A">
        <w:rPr>
          <w:color w:val="0D0D0D" w:themeColor="text1" w:themeTint="F2"/>
          <w:lang w:val="en-GB"/>
        </w:rPr>
        <w:t xml:space="preserve"> of the EU</w:t>
      </w:r>
      <w:r w:rsidRPr="00194C6A">
        <w:rPr>
          <w:color w:val="0D0D0D" w:themeColor="text1" w:themeTint="F2"/>
          <w:lang w:val="en-GB"/>
        </w:rPr>
        <w:t>. It is also noteworthy that, on 15 November, the Greek Association of Judges and Prosecutors characterised this decision as unconstitutional and asked</w:t>
      </w:r>
      <w:r w:rsidR="00596BD0" w:rsidRPr="00194C6A">
        <w:rPr>
          <w:color w:val="0D0D0D" w:themeColor="text1" w:themeTint="F2"/>
          <w:lang w:val="en-US"/>
        </w:rPr>
        <w:t xml:space="preserve"> </w:t>
      </w:r>
      <w:r w:rsidR="00596BD0" w:rsidRPr="00194C6A">
        <w:rPr>
          <w:color w:val="0D0D0D" w:themeColor="text1" w:themeTint="F2"/>
          <w:lang w:val="en-GB"/>
        </w:rPr>
        <w:t>for</w:t>
      </w:r>
      <w:r w:rsidRPr="00194C6A">
        <w:rPr>
          <w:color w:val="0D0D0D" w:themeColor="text1" w:themeTint="F2"/>
          <w:lang w:val="en-GB"/>
        </w:rPr>
        <w:t xml:space="preserve"> its immediate revocation.</w:t>
      </w:r>
      <w:bookmarkStart w:id="0" w:name="_GoBack"/>
      <w:bookmarkEnd w:id="0"/>
    </w:p>
    <w:p w:rsidR="00F15C17" w:rsidRPr="00194C6A" w:rsidRDefault="00F15C17" w:rsidP="00D41015">
      <w:pPr>
        <w:jc w:val="both"/>
        <w:rPr>
          <w:color w:val="0D0D0D" w:themeColor="text1" w:themeTint="F2"/>
          <w:lang w:val="en-GB"/>
        </w:rPr>
      </w:pPr>
    </w:p>
    <w:p w:rsidR="00D41015" w:rsidRPr="00194C6A" w:rsidRDefault="00D41015" w:rsidP="00D41015">
      <w:pPr>
        <w:jc w:val="both"/>
        <w:rPr>
          <w:color w:val="0D0D0D" w:themeColor="text1" w:themeTint="F2"/>
          <w:lang w:val="en-GB"/>
        </w:rPr>
      </w:pPr>
      <w:r w:rsidRPr="00194C6A">
        <w:rPr>
          <w:color w:val="0D0D0D" w:themeColor="text1" w:themeTint="F2"/>
          <w:lang w:val="en-GB"/>
        </w:rPr>
        <w:t>During the challenging period of the pandemic, our House proved to be the frontrunner and actively protected rule of law and democ</w:t>
      </w:r>
      <w:r w:rsidR="000828EB" w:rsidRPr="00194C6A">
        <w:rPr>
          <w:color w:val="0D0D0D" w:themeColor="text1" w:themeTint="F2"/>
          <w:lang w:val="en-GB"/>
        </w:rPr>
        <w:t>racy in Europe. It is essential for</w:t>
      </w:r>
      <w:r w:rsidR="006D3F27" w:rsidRPr="00194C6A">
        <w:rPr>
          <w:color w:val="0D0D0D" w:themeColor="text1" w:themeTint="F2"/>
          <w:lang w:val="en-GB"/>
        </w:rPr>
        <w:t xml:space="preserve"> </w:t>
      </w:r>
      <w:r w:rsidRPr="00194C6A">
        <w:rPr>
          <w:color w:val="0D0D0D" w:themeColor="text1" w:themeTint="F2"/>
          <w:lang w:val="en-GB"/>
        </w:rPr>
        <w:t xml:space="preserve">the Parliament to ensure that only proportionate measures are taken due to the pandemic and </w:t>
      </w:r>
      <w:r w:rsidR="00CD5952" w:rsidRPr="00194C6A">
        <w:rPr>
          <w:color w:val="0D0D0D" w:themeColor="text1" w:themeTint="F2"/>
          <w:lang w:val="en-GB"/>
        </w:rPr>
        <w:t xml:space="preserve">that </w:t>
      </w:r>
      <w:r w:rsidRPr="00194C6A">
        <w:rPr>
          <w:color w:val="0D0D0D" w:themeColor="text1" w:themeTint="F2"/>
          <w:lang w:val="en-GB"/>
        </w:rPr>
        <w:t>there is no any setback regarding the rule of law and fundamental rights in the Union,</w:t>
      </w:r>
      <w:r w:rsidR="006D3F27" w:rsidRPr="00194C6A">
        <w:rPr>
          <w:color w:val="0D0D0D" w:themeColor="text1" w:themeTint="F2"/>
          <w:lang w:val="en-GB"/>
        </w:rPr>
        <w:t xml:space="preserve"> </w:t>
      </w:r>
      <w:r w:rsidRPr="00194C6A">
        <w:rPr>
          <w:color w:val="0D0D0D" w:themeColor="text1" w:themeTint="F2"/>
          <w:lang w:val="en-GB"/>
        </w:rPr>
        <w:t xml:space="preserve">not allowing the pandemic to be </w:t>
      </w:r>
      <w:r w:rsidR="000828EB" w:rsidRPr="00194C6A">
        <w:rPr>
          <w:color w:val="0D0D0D" w:themeColor="text1" w:themeTint="F2"/>
          <w:lang w:val="en-GB"/>
        </w:rPr>
        <w:t xml:space="preserve">used as </w:t>
      </w:r>
      <w:r w:rsidRPr="00194C6A">
        <w:rPr>
          <w:color w:val="0D0D0D" w:themeColor="text1" w:themeTint="F2"/>
          <w:lang w:val="en-GB"/>
        </w:rPr>
        <w:t>a pretext for undermining democracy in Europe.</w:t>
      </w:r>
    </w:p>
    <w:p w:rsidR="00EA478F" w:rsidRPr="00194C6A" w:rsidRDefault="00EA478F" w:rsidP="00EA478F">
      <w:pPr>
        <w:jc w:val="both"/>
        <w:rPr>
          <w:color w:val="0D0D0D" w:themeColor="text1" w:themeTint="F2"/>
          <w:lang w:val="en-US"/>
        </w:rPr>
      </w:pPr>
    </w:p>
    <w:p w:rsidR="00D327F3" w:rsidRPr="00194C6A" w:rsidRDefault="00CB0E9A">
      <w:pPr>
        <w:jc w:val="both"/>
        <w:rPr>
          <w:color w:val="0D0D0D" w:themeColor="text1" w:themeTint="F2"/>
          <w:lang w:val="en-US"/>
        </w:rPr>
      </w:pPr>
      <w:r w:rsidRPr="00194C6A">
        <w:rPr>
          <w:color w:val="0D0D0D" w:themeColor="text1" w:themeTint="F2"/>
          <w:lang w:val="en-US"/>
        </w:rPr>
        <w:t>Yours sincerely,</w:t>
      </w:r>
    </w:p>
    <w:p w:rsidR="00D41015" w:rsidRPr="00194C6A" w:rsidRDefault="00D41015">
      <w:pPr>
        <w:jc w:val="both"/>
        <w:rPr>
          <w:color w:val="0D0D0D" w:themeColor="text1" w:themeTint="F2"/>
          <w:lang w:val="en-US"/>
        </w:rPr>
      </w:pPr>
      <w:r w:rsidRPr="00194C6A">
        <w:rPr>
          <w:noProof/>
          <w:color w:val="0D0D0D" w:themeColor="text1" w:themeTint="F2"/>
          <w:lang w:val="en-US"/>
        </w:rPr>
        <w:drawing>
          <wp:inline distT="0" distB="0" distL="0" distR="0">
            <wp:extent cx="1462087" cy="747289"/>
            <wp:effectExtent l="0" t="0" r="5080" b="0"/>
            <wp:docPr id="1" name="Picture 1" descr="\\ep.parl.union.eu\MEP\UserData\05\dpapadimoulis\Desktop\DP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arl.union.eu\MEP\UserData\05\dpapadimoulis\Desktop\DP signature.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9817" cy="761462"/>
                    </a:xfrm>
                    <a:prstGeom prst="rect">
                      <a:avLst/>
                    </a:prstGeom>
                    <a:noFill/>
                    <a:ln>
                      <a:noFill/>
                    </a:ln>
                  </pic:spPr>
                </pic:pic>
              </a:graphicData>
            </a:graphic>
          </wp:inline>
        </w:drawing>
      </w:r>
    </w:p>
    <w:p w:rsidR="00D41015" w:rsidRDefault="00D41015">
      <w:pPr>
        <w:jc w:val="both"/>
        <w:rPr>
          <w:color w:val="0D0D0D" w:themeColor="text1" w:themeTint="F2"/>
          <w:lang w:val="en-US"/>
        </w:rPr>
      </w:pPr>
      <w:r w:rsidRPr="00194C6A">
        <w:rPr>
          <w:color w:val="0D0D0D" w:themeColor="text1" w:themeTint="F2"/>
          <w:lang w:val="en-US"/>
        </w:rPr>
        <w:t>Dimitrios Papadimoulis</w:t>
      </w:r>
    </w:p>
    <w:p w:rsidR="00623DB5" w:rsidRDefault="00623DB5">
      <w:pPr>
        <w:jc w:val="both"/>
        <w:rPr>
          <w:color w:val="0D0D0D" w:themeColor="text1" w:themeTint="F2"/>
          <w:lang w:val="en-US"/>
        </w:rPr>
      </w:pPr>
    </w:p>
    <w:p w:rsidR="00623DB5" w:rsidRDefault="00623DB5">
      <w:pPr>
        <w:jc w:val="both"/>
        <w:rPr>
          <w:color w:val="0D0D0D" w:themeColor="text1" w:themeTint="F2"/>
          <w:lang w:val="en-US"/>
        </w:rPr>
      </w:pPr>
    </w:p>
    <w:sectPr w:rsidR="00623DB5" w:rsidSect="00D41015">
      <w:pgSz w:w="11909" w:h="16834"/>
      <w:pgMar w:top="1418" w:right="1418" w:bottom="1418"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43C" w:rsidRDefault="008E243C" w:rsidP="00DF42C3">
      <w:pPr>
        <w:spacing w:line="240" w:lineRule="auto"/>
      </w:pPr>
      <w:r>
        <w:separator/>
      </w:r>
    </w:p>
  </w:endnote>
  <w:endnote w:type="continuationSeparator" w:id="0">
    <w:p w:rsidR="008E243C" w:rsidRDefault="008E243C" w:rsidP="00DF4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43C" w:rsidRDefault="008E243C" w:rsidP="00DF42C3">
      <w:pPr>
        <w:spacing w:line="240" w:lineRule="auto"/>
      </w:pPr>
      <w:r>
        <w:separator/>
      </w:r>
    </w:p>
  </w:footnote>
  <w:footnote w:type="continuationSeparator" w:id="0">
    <w:p w:rsidR="008E243C" w:rsidRDefault="008E243C" w:rsidP="00DF42C3">
      <w:pPr>
        <w:spacing w:line="240" w:lineRule="auto"/>
      </w:pPr>
      <w:r>
        <w:continuationSeparator/>
      </w:r>
    </w:p>
  </w:footnote>
  <w:footnote w:id="1">
    <w:p w:rsidR="003549CC" w:rsidRPr="003549CC" w:rsidRDefault="003549CC">
      <w:pPr>
        <w:pStyle w:val="FootnoteText"/>
        <w:rPr>
          <w:lang w:val="en-GB"/>
        </w:rPr>
      </w:pPr>
      <w:r>
        <w:rPr>
          <w:rStyle w:val="FootnoteReference"/>
        </w:rPr>
        <w:footnoteRef/>
      </w:r>
      <w:r>
        <w:t xml:space="preserve"> </w:t>
      </w:r>
      <w:hyperlink r:id="rId1" w:history="1">
        <w:r w:rsidRPr="00EF1859">
          <w:rPr>
            <w:rStyle w:val="Hyperlink"/>
          </w:rPr>
          <w:t>https://www.europarl.europa.eu/doceo/document/TA-9-2020-0307_EN.pdf</w:t>
        </w:r>
      </w:hyperlink>
      <w:r>
        <w:t xml:space="preserve"> </w:t>
      </w:r>
    </w:p>
  </w:footnote>
  <w:footnote w:id="2">
    <w:p w:rsidR="003549CC" w:rsidRPr="003549CC" w:rsidRDefault="003549CC">
      <w:pPr>
        <w:pStyle w:val="FootnoteText"/>
        <w:rPr>
          <w:lang w:val="en-GB"/>
        </w:rPr>
      </w:pPr>
      <w:r>
        <w:rPr>
          <w:rStyle w:val="FootnoteReference"/>
        </w:rPr>
        <w:footnoteRef/>
      </w:r>
      <w:r>
        <w:t xml:space="preserve"> </w:t>
      </w:r>
      <w:hyperlink r:id="rId2" w:history="1">
        <w:r w:rsidR="00843362" w:rsidRPr="00843362">
          <w:rPr>
            <w:color w:val="0000FF"/>
            <w:sz w:val="22"/>
            <w:szCs w:val="22"/>
            <w:u w:val="single"/>
          </w:rPr>
          <w:t>https://eur-lex.europa.eu/legal-content/EN/TXT/PDF/?uri=CELEX:52020DC0580&amp;from=EN</w:t>
        </w:r>
      </w:hyperlink>
      <w:r w:rsidR="00843362">
        <w:rPr>
          <w:sz w:val="22"/>
          <w:szCs w:val="22"/>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7BF5"/>
    <w:rsid w:val="00040FA0"/>
    <w:rsid w:val="0006332D"/>
    <w:rsid w:val="00064A97"/>
    <w:rsid w:val="000828EB"/>
    <w:rsid w:val="0016033A"/>
    <w:rsid w:val="00194C6A"/>
    <w:rsid w:val="001B341C"/>
    <w:rsid w:val="001B77C1"/>
    <w:rsid w:val="001E64DF"/>
    <w:rsid w:val="001F06F6"/>
    <w:rsid w:val="0021579B"/>
    <w:rsid w:val="00240382"/>
    <w:rsid w:val="002816CF"/>
    <w:rsid w:val="00292F6B"/>
    <w:rsid w:val="002B00AE"/>
    <w:rsid w:val="002C15C6"/>
    <w:rsid w:val="002F141F"/>
    <w:rsid w:val="0032391F"/>
    <w:rsid w:val="00343B68"/>
    <w:rsid w:val="00352E29"/>
    <w:rsid w:val="003549CC"/>
    <w:rsid w:val="00360B81"/>
    <w:rsid w:val="003874F2"/>
    <w:rsid w:val="003A1176"/>
    <w:rsid w:val="00454274"/>
    <w:rsid w:val="00470351"/>
    <w:rsid w:val="004C10AB"/>
    <w:rsid w:val="00515525"/>
    <w:rsid w:val="00533CA1"/>
    <w:rsid w:val="00552592"/>
    <w:rsid w:val="005745DB"/>
    <w:rsid w:val="00596BD0"/>
    <w:rsid w:val="005D059B"/>
    <w:rsid w:val="005D7B12"/>
    <w:rsid w:val="0061281F"/>
    <w:rsid w:val="00623DB5"/>
    <w:rsid w:val="00624899"/>
    <w:rsid w:val="00633EB2"/>
    <w:rsid w:val="00665879"/>
    <w:rsid w:val="006D3F27"/>
    <w:rsid w:val="006F4C0A"/>
    <w:rsid w:val="006F6D29"/>
    <w:rsid w:val="007141CB"/>
    <w:rsid w:val="0072390C"/>
    <w:rsid w:val="007D21B9"/>
    <w:rsid w:val="007F2CA8"/>
    <w:rsid w:val="007F7520"/>
    <w:rsid w:val="0082517E"/>
    <w:rsid w:val="00843362"/>
    <w:rsid w:val="00847D2A"/>
    <w:rsid w:val="0086250F"/>
    <w:rsid w:val="008A244C"/>
    <w:rsid w:val="008E243C"/>
    <w:rsid w:val="008E3EC8"/>
    <w:rsid w:val="00941719"/>
    <w:rsid w:val="00960C3E"/>
    <w:rsid w:val="00972E74"/>
    <w:rsid w:val="00984E0A"/>
    <w:rsid w:val="009D0987"/>
    <w:rsid w:val="009D2E78"/>
    <w:rsid w:val="009F545E"/>
    <w:rsid w:val="00A27DC0"/>
    <w:rsid w:val="00A6417F"/>
    <w:rsid w:val="00AB3E9D"/>
    <w:rsid w:val="00B05EE3"/>
    <w:rsid w:val="00B16421"/>
    <w:rsid w:val="00B65980"/>
    <w:rsid w:val="00B6709A"/>
    <w:rsid w:val="00B72483"/>
    <w:rsid w:val="00B87BF5"/>
    <w:rsid w:val="00BA7BC7"/>
    <w:rsid w:val="00BB3182"/>
    <w:rsid w:val="00BC5681"/>
    <w:rsid w:val="00C32640"/>
    <w:rsid w:val="00C95DA2"/>
    <w:rsid w:val="00CA4D82"/>
    <w:rsid w:val="00CB0E9A"/>
    <w:rsid w:val="00CB64EB"/>
    <w:rsid w:val="00CD5952"/>
    <w:rsid w:val="00D0526A"/>
    <w:rsid w:val="00D327F3"/>
    <w:rsid w:val="00D41015"/>
    <w:rsid w:val="00D4583B"/>
    <w:rsid w:val="00D77677"/>
    <w:rsid w:val="00D91C21"/>
    <w:rsid w:val="00DA5A91"/>
    <w:rsid w:val="00DC192C"/>
    <w:rsid w:val="00DF42C3"/>
    <w:rsid w:val="00E4031E"/>
    <w:rsid w:val="00E53E1F"/>
    <w:rsid w:val="00E650FB"/>
    <w:rsid w:val="00E7430F"/>
    <w:rsid w:val="00EA478F"/>
    <w:rsid w:val="00EC1717"/>
    <w:rsid w:val="00EC2490"/>
    <w:rsid w:val="00ED66ED"/>
    <w:rsid w:val="00EF5E4F"/>
    <w:rsid w:val="00EF6D5C"/>
    <w:rsid w:val="00F01883"/>
    <w:rsid w:val="00F15C17"/>
    <w:rsid w:val="00F56177"/>
    <w:rsid w:val="00F75CBD"/>
    <w:rsid w:val="00F838B1"/>
    <w:rsid w:val="00FB0F3F"/>
    <w:rsid w:val="00FC55E2"/>
    <w:rsid w:val="00FD15C8"/>
    <w:rsid w:val="00FD22E3"/>
    <w:rsid w:val="00FD281D"/>
    <w:rsid w:val="00FD7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A91"/>
  </w:style>
  <w:style w:type="paragraph" w:styleId="Heading1">
    <w:name w:val="heading 1"/>
    <w:basedOn w:val="Normal"/>
    <w:next w:val="Normal"/>
    <w:uiPriority w:val="9"/>
    <w:qFormat/>
    <w:rsid w:val="00DA5A91"/>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A5A91"/>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A5A91"/>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A5A91"/>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A5A91"/>
    <w:pPr>
      <w:keepNext/>
      <w:keepLines/>
      <w:spacing w:before="240" w:after="80"/>
      <w:outlineLvl w:val="4"/>
    </w:pPr>
    <w:rPr>
      <w:color w:val="666666"/>
    </w:rPr>
  </w:style>
  <w:style w:type="paragraph" w:styleId="Heading6">
    <w:name w:val="heading 6"/>
    <w:basedOn w:val="Normal"/>
    <w:next w:val="Normal"/>
    <w:uiPriority w:val="9"/>
    <w:semiHidden/>
    <w:unhideWhenUsed/>
    <w:qFormat/>
    <w:rsid w:val="00DA5A9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5A91"/>
    <w:pPr>
      <w:keepNext/>
      <w:keepLines/>
      <w:spacing w:after="60"/>
    </w:pPr>
    <w:rPr>
      <w:sz w:val="52"/>
      <w:szCs w:val="52"/>
    </w:rPr>
  </w:style>
  <w:style w:type="paragraph" w:styleId="Subtitle">
    <w:name w:val="Subtitle"/>
    <w:basedOn w:val="Normal"/>
    <w:next w:val="Normal"/>
    <w:uiPriority w:val="11"/>
    <w:qFormat/>
    <w:rsid w:val="00DA5A91"/>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DF42C3"/>
    <w:pPr>
      <w:spacing w:line="240" w:lineRule="auto"/>
    </w:pPr>
    <w:rPr>
      <w:sz w:val="20"/>
      <w:szCs w:val="20"/>
    </w:rPr>
  </w:style>
  <w:style w:type="character" w:customStyle="1" w:styleId="FootnoteTextChar">
    <w:name w:val="Footnote Text Char"/>
    <w:basedOn w:val="DefaultParagraphFont"/>
    <w:link w:val="FootnoteText"/>
    <w:uiPriority w:val="99"/>
    <w:semiHidden/>
    <w:rsid w:val="00DF42C3"/>
    <w:rPr>
      <w:sz w:val="20"/>
      <w:szCs w:val="20"/>
    </w:rPr>
  </w:style>
  <w:style w:type="character" w:styleId="FootnoteReference">
    <w:name w:val="footnote reference"/>
    <w:basedOn w:val="DefaultParagraphFont"/>
    <w:uiPriority w:val="99"/>
    <w:semiHidden/>
    <w:unhideWhenUsed/>
    <w:rsid w:val="00DF42C3"/>
    <w:rPr>
      <w:vertAlign w:val="superscript"/>
    </w:rPr>
  </w:style>
  <w:style w:type="character" w:styleId="Hyperlink">
    <w:name w:val="Hyperlink"/>
    <w:basedOn w:val="DefaultParagraphFont"/>
    <w:uiPriority w:val="99"/>
    <w:unhideWhenUsed/>
    <w:rsid w:val="00DF42C3"/>
    <w:rPr>
      <w:color w:val="0000FF"/>
      <w:u w:val="single"/>
    </w:rPr>
  </w:style>
  <w:style w:type="paragraph" w:styleId="BalloonText">
    <w:name w:val="Balloon Text"/>
    <w:basedOn w:val="Normal"/>
    <w:link w:val="BalloonTextChar"/>
    <w:uiPriority w:val="99"/>
    <w:semiHidden/>
    <w:unhideWhenUsed/>
    <w:rsid w:val="00194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855778">
      <w:bodyDiv w:val="1"/>
      <w:marLeft w:val="0"/>
      <w:marRight w:val="0"/>
      <w:marTop w:val="0"/>
      <w:marBottom w:val="0"/>
      <w:divBdr>
        <w:top w:val="none" w:sz="0" w:space="0" w:color="auto"/>
        <w:left w:val="none" w:sz="0" w:space="0" w:color="auto"/>
        <w:bottom w:val="none" w:sz="0" w:space="0" w:color="auto"/>
        <w:right w:val="none" w:sz="0" w:space="0" w:color="auto"/>
      </w:divBdr>
    </w:div>
    <w:div w:id="1148595706">
      <w:bodyDiv w:val="1"/>
      <w:marLeft w:val="0"/>
      <w:marRight w:val="0"/>
      <w:marTop w:val="0"/>
      <w:marBottom w:val="0"/>
      <w:divBdr>
        <w:top w:val="none" w:sz="0" w:space="0" w:color="auto"/>
        <w:left w:val="none" w:sz="0" w:space="0" w:color="auto"/>
        <w:bottom w:val="none" w:sz="0" w:space="0" w:color="auto"/>
        <w:right w:val="none" w:sz="0" w:space="0" w:color="auto"/>
      </w:divBdr>
    </w:div>
    <w:div w:id="1202399046">
      <w:bodyDiv w:val="1"/>
      <w:marLeft w:val="0"/>
      <w:marRight w:val="0"/>
      <w:marTop w:val="0"/>
      <w:marBottom w:val="0"/>
      <w:divBdr>
        <w:top w:val="none" w:sz="0" w:space="0" w:color="auto"/>
        <w:left w:val="none" w:sz="0" w:space="0" w:color="auto"/>
        <w:bottom w:val="none" w:sz="0" w:space="0" w:color="auto"/>
        <w:right w:val="none" w:sz="0" w:space="0" w:color="auto"/>
      </w:divBdr>
    </w:div>
    <w:div w:id="1261640897">
      <w:bodyDiv w:val="1"/>
      <w:marLeft w:val="0"/>
      <w:marRight w:val="0"/>
      <w:marTop w:val="0"/>
      <w:marBottom w:val="0"/>
      <w:divBdr>
        <w:top w:val="none" w:sz="0" w:space="0" w:color="auto"/>
        <w:left w:val="none" w:sz="0" w:space="0" w:color="auto"/>
        <w:bottom w:val="none" w:sz="0" w:space="0" w:color="auto"/>
        <w:right w:val="none" w:sz="0" w:space="0" w:color="auto"/>
      </w:divBdr>
    </w:div>
    <w:div w:id="2071494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52020DC0580&amp;from=EN" TargetMode="External"/><Relationship Id="rId1" Type="http://schemas.openxmlformats.org/officeDocument/2006/relationships/hyperlink" Target="https://www.europarl.europa.eu/doceo/document/TA-9-2020-030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PAPADIMOULIS Dimitrios</dc:creator>
  <cp:lastModifiedBy>mic</cp:lastModifiedBy>
  <cp:revision>3</cp:revision>
  <cp:lastPrinted>2020-07-11T09:46:00Z</cp:lastPrinted>
  <dcterms:created xsi:type="dcterms:W3CDTF">2020-11-16T13:55:00Z</dcterms:created>
  <dcterms:modified xsi:type="dcterms:W3CDTF">2020-11-16T13:55:00Z</dcterms:modified>
</cp:coreProperties>
</file>