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E3" w:rsidRPr="00975198" w:rsidRDefault="00E5588A" w:rsidP="00565D98">
      <w:pPr>
        <w:pStyle w:val="Heading1"/>
        <w:pBdr>
          <w:bottom w:val="single" w:sz="4" w:space="1" w:color="auto"/>
        </w:pBdr>
        <w:spacing w:before="0"/>
        <w:jc w:val="both"/>
        <w:rPr>
          <w:sz w:val="28"/>
          <w:lang w:val="el-GR"/>
        </w:rPr>
      </w:pPr>
      <w:r>
        <w:rPr>
          <w:sz w:val="28"/>
          <w:lang w:val="el-GR"/>
        </w:rPr>
        <w:t>Η π</w:t>
      </w:r>
      <w:r w:rsidR="00975198" w:rsidRPr="00975198">
        <w:rPr>
          <w:sz w:val="28"/>
          <w:lang w:val="el-GR"/>
        </w:rPr>
        <w:t xml:space="preserve">ρόταση της </w:t>
      </w:r>
      <w:r>
        <w:rPr>
          <w:sz w:val="28"/>
          <w:lang w:val="el-GR"/>
        </w:rPr>
        <w:t xml:space="preserve">Κομισιόν </w:t>
      </w:r>
    </w:p>
    <w:p w:rsidR="000421E3" w:rsidRPr="00975198" w:rsidRDefault="00E5588A" w:rsidP="00CB14E2">
      <w:pPr>
        <w:pStyle w:val="Subtitle"/>
        <w:spacing w:before="240"/>
        <w:jc w:val="both"/>
        <w:rPr>
          <w:color w:val="C00000"/>
          <w:lang w:val="el-GR"/>
        </w:rPr>
      </w:pPr>
      <w:r>
        <w:rPr>
          <w:color w:val="C00000"/>
          <w:lang w:val="el-GR"/>
        </w:rPr>
        <w:t>Π</w:t>
      </w:r>
      <w:r w:rsidR="00975198" w:rsidRPr="00975198">
        <w:rPr>
          <w:color w:val="C00000"/>
          <w:lang w:val="el-GR"/>
        </w:rPr>
        <w:t xml:space="preserve">ακέτο </w:t>
      </w:r>
      <w:r w:rsidR="00975198">
        <w:rPr>
          <w:color w:val="C00000"/>
          <w:lang w:val="el-GR"/>
        </w:rPr>
        <w:t>ανάκαμψης</w:t>
      </w:r>
    </w:p>
    <w:p w:rsidR="00975198" w:rsidRPr="008A5BEE" w:rsidRDefault="00975198" w:rsidP="00975198">
      <w:pPr>
        <w:pStyle w:val="ListParagraph"/>
        <w:numPr>
          <w:ilvl w:val="0"/>
          <w:numId w:val="8"/>
        </w:numPr>
        <w:jc w:val="both"/>
        <w:rPr>
          <w:b/>
          <w:lang w:val="fr-FR"/>
        </w:rPr>
      </w:pPr>
      <w:r w:rsidRPr="00975198">
        <w:rPr>
          <w:lang w:val="fr-FR"/>
        </w:rPr>
        <w:t>Πολυετές</w:t>
      </w:r>
      <w:r w:rsidR="00E5588A">
        <w:rPr>
          <w:lang w:val="el-GR"/>
        </w:rPr>
        <w:t xml:space="preserve"> </w:t>
      </w:r>
      <w:r w:rsidR="008533E9" w:rsidRPr="00975198">
        <w:rPr>
          <w:lang w:val="fr-FR"/>
        </w:rPr>
        <w:t>Δημοσιονομικό</w:t>
      </w:r>
      <w:r w:rsidR="00E5588A">
        <w:rPr>
          <w:lang w:val="el-GR"/>
        </w:rPr>
        <w:t xml:space="preserve"> </w:t>
      </w:r>
      <w:r w:rsidR="008533E9" w:rsidRPr="00975198">
        <w:rPr>
          <w:lang w:val="fr-FR"/>
        </w:rPr>
        <w:t>Πλαίσιο</w:t>
      </w:r>
      <w:r w:rsidRPr="00975198">
        <w:rPr>
          <w:lang w:val="fr-FR"/>
        </w:rPr>
        <w:t xml:space="preserve"> 2021-2027 </w:t>
      </w:r>
      <w:r w:rsidR="00E5588A">
        <w:rPr>
          <w:lang w:val="el-GR"/>
        </w:rPr>
        <w:tab/>
      </w:r>
      <w:r w:rsidR="00E5588A">
        <w:rPr>
          <w:lang w:val="el-GR"/>
        </w:rPr>
        <w:tab/>
      </w:r>
      <w:r w:rsidR="00E5588A">
        <w:rPr>
          <w:lang w:val="el-GR"/>
        </w:rPr>
        <w:tab/>
      </w:r>
      <w:r w:rsidR="00E5588A">
        <w:rPr>
          <w:b/>
          <w:lang w:val="fr-FR"/>
        </w:rPr>
        <w:t>1</w:t>
      </w:r>
      <w:r w:rsidR="00011FBF">
        <w:rPr>
          <w:b/>
          <w:lang w:val="el-GR"/>
        </w:rPr>
        <w:t>.</w:t>
      </w:r>
      <w:r w:rsidRPr="008A5BEE">
        <w:rPr>
          <w:b/>
          <w:lang w:val="fr-FR"/>
        </w:rPr>
        <w:t xml:space="preserve">100 </w:t>
      </w:r>
      <w:r w:rsidR="008A5BEE">
        <w:rPr>
          <w:b/>
          <w:lang w:val="fr-FR"/>
        </w:rPr>
        <w:t>δισ.</w:t>
      </w:r>
      <w:r w:rsidR="00E5588A">
        <w:rPr>
          <w:b/>
          <w:lang w:val="el-GR"/>
        </w:rPr>
        <w:t xml:space="preserve"> €</w:t>
      </w:r>
    </w:p>
    <w:p w:rsidR="00E5588A" w:rsidRPr="00E5588A" w:rsidRDefault="00975198" w:rsidP="00975198">
      <w:pPr>
        <w:pStyle w:val="ListParagraph"/>
        <w:numPr>
          <w:ilvl w:val="0"/>
          <w:numId w:val="8"/>
        </w:numPr>
        <w:jc w:val="both"/>
        <w:rPr>
          <w:b/>
          <w:lang w:val="fr-FR"/>
        </w:rPr>
      </w:pPr>
      <w:r w:rsidRPr="00E5588A">
        <w:rPr>
          <w:lang w:val="fr-FR"/>
        </w:rPr>
        <w:t>Ευρωπαϊκό μέ</w:t>
      </w:r>
      <w:r w:rsidR="008A5BEE" w:rsidRPr="00E5588A">
        <w:rPr>
          <w:lang w:val="fr-FR"/>
        </w:rPr>
        <w:t>σο ανάκαμψης -</w:t>
      </w:r>
      <w:r w:rsidRPr="00E5588A">
        <w:rPr>
          <w:lang w:val="fr-FR"/>
        </w:rPr>
        <w:t>«Next</w:t>
      </w:r>
      <w:r w:rsidR="00E5588A" w:rsidRPr="00E5588A">
        <w:rPr>
          <w:lang w:val="el-GR"/>
        </w:rPr>
        <w:t xml:space="preserve"> </w:t>
      </w:r>
      <w:r w:rsidRPr="00E5588A">
        <w:rPr>
          <w:lang w:val="fr-FR"/>
        </w:rPr>
        <w:t>Generation</w:t>
      </w:r>
      <w:r w:rsidR="00E5588A" w:rsidRPr="00E5588A">
        <w:rPr>
          <w:lang w:val="el-GR"/>
        </w:rPr>
        <w:t xml:space="preserve"> </w:t>
      </w:r>
      <w:r w:rsidRPr="00E5588A">
        <w:rPr>
          <w:lang w:val="fr-FR"/>
        </w:rPr>
        <w:t xml:space="preserve">EU» (NGE) </w:t>
      </w:r>
      <w:r w:rsidR="00E5588A" w:rsidRPr="00E5588A">
        <w:rPr>
          <w:lang w:val="el-GR"/>
        </w:rPr>
        <w:tab/>
      </w:r>
      <w:r w:rsidR="00E5588A" w:rsidRPr="00E5588A">
        <w:rPr>
          <w:lang w:val="el-GR"/>
        </w:rPr>
        <w:tab/>
      </w:r>
      <w:r w:rsidRPr="00E5588A">
        <w:rPr>
          <w:b/>
          <w:lang w:val="fr-FR"/>
        </w:rPr>
        <w:t xml:space="preserve">750 </w:t>
      </w:r>
      <w:r w:rsidR="008A5BEE" w:rsidRPr="00E5588A">
        <w:rPr>
          <w:b/>
          <w:lang w:val="fr-FR"/>
        </w:rPr>
        <w:t>δισ.</w:t>
      </w:r>
      <w:r w:rsidR="00E5588A">
        <w:rPr>
          <w:b/>
          <w:lang w:val="el-GR"/>
        </w:rPr>
        <w:t xml:space="preserve"> €</w:t>
      </w:r>
      <w:r w:rsidRPr="00E5588A">
        <w:rPr>
          <w:lang w:val="fr-FR"/>
        </w:rPr>
        <w:t xml:space="preserve"> </w:t>
      </w:r>
    </w:p>
    <w:p w:rsidR="00975198" w:rsidRPr="00E5588A" w:rsidRDefault="00975198" w:rsidP="00975198">
      <w:pPr>
        <w:pStyle w:val="ListParagraph"/>
        <w:numPr>
          <w:ilvl w:val="0"/>
          <w:numId w:val="8"/>
        </w:numPr>
        <w:jc w:val="both"/>
        <w:rPr>
          <w:b/>
          <w:lang w:val="fr-FR"/>
        </w:rPr>
      </w:pPr>
      <w:r w:rsidRPr="00E5588A">
        <w:rPr>
          <w:lang w:val="fr-FR"/>
        </w:rPr>
        <w:t xml:space="preserve">ESM + EIB + SURE </w:t>
      </w:r>
      <w:r w:rsidR="00E5588A">
        <w:rPr>
          <w:lang w:val="el-GR"/>
        </w:rPr>
        <w:tab/>
      </w:r>
      <w:r w:rsidR="00E5588A">
        <w:rPr>
          <w:lang w:val="el-GR"/>
        </w:rPr>
        <w:tab/>
      </w:r>
      <w:r w:rsidR="00E5588A">
        <w:rPr>
          <w:lang w:val="el-GR"/>
        </w:rPr>
        <w:tab/>
      </w:r>
      <w:r w:rsidR="00E5588A">
        <w:rPr>
          <w:lang w:val="el-GR"/>
        </w:rPr>
        <w:tab/>
      </w:r>
      <w:r w:rsidR="00E5588A">
        <w:rPr>
          <w:lang w:val="el-GR"/>
        </w:rPr>
        <w:tab/>
      </w:r>
      <w:r w:rsidR="00E5588A">
        <w:rPr>
          <w:lang w:val="el-GR"/>
        </w:rPr>
        <w:tab/>
      </w:r>
      <w:r w:rsidR="00E5588A">
        <w:rPr>
          <w:lang w:val="el-GR"/>
        </w:rPr>
        <w:tab/>
      </w:r>
      <w:r w:rsidRPr="00E5588A">
        <w:rPr>
          <w:b/>
          <w:lang w:val="fr-FR"/>
        </w:rPr>
        <w:t xml:space="preserve">540 </w:t>
      </w:r>
      <w:r w:rsidR="008A5BEE" w:rsidRPr="00E5588A">
        <w:rPr>
          <w:b/>
          <w:lang w:val="fr-FR"/>
        </w:rPr>
        <w:t>δισ.</w:t>
      </w:r>
      <w:r w:rsidR="00E5588A">
        <w:rPr>
          <w:b/>
          <w:lang w:val="el-GR"/>
        </w:rPr>
        <w:t xml:space="preserve"> €</w:t>
      </w:r>
    </w:p>
    <w:p w:rsidR="00975198" w:rsidRPr="00975198" w:rsidRDefault="00975198" w:rsidP="00975198">
      <w:pPr>
        <w:pStyle w:val="Subtitle"/>
        <w:spacing w:before="240"/>
        <w:jc w:val="both"/>
        <w:rPr>
          <w:rStyle w:val="SubtleEmphasis"/>
          <w:rFonts w:eastAsiaTheme="minorHAnsi"/>
          <w:spacing w:val="0"/>
          <w:lang w:val="el-GR"/>
        </w:rPr>
      </w:pPr>
      <w:r w:rsidRPr="00975198">
        <w:rPr>
          <w:rStyle w:val="SubtleEmphasis"/>
          <w:rFonts w:eastAsiaTheme="minorHAnsi"/>
          <w:spacing w:val="0"/>
          <w:lang w:val="fr-FR"/>
        </w:rPr>
        <w:t>Συνολικά</w:t>
      </w:r>
    </w:p>
    <w:p w:rsidR="00975198" w:rsidRPr="00975198" w:rsidRDefault="00E5588A" w:rsidP="00975198">
      <w:pPr>
        <w:pStyle w:val="ListParagraph"/>
        <w:numPr>
          <w:ilvl w:val="0"/>
          <w:numId w:val="8"/>
        </w:numPr>
        <w:jc w:val="both"/>
        <w:rPr>
          <w:iCs/>
          <w:lang w:val="fr-FR"/>
        </w:rPr>
      </w:pPr>
      <w:r>
        <w:rPr>
          <w:b/>
          <w:iCs/>
          <w:lang w:val="fr-FR"/>
        </w:rPr>
        <w:t>1</w:t>
      </w:r>
      <w:r w:rsidR="00011FBF">
        <w:rPr>
          <w:b/>
          <w:iCs/>
          <w:lang w:val="el-GR"/>
        </w:rPr>
        <w:t>.</w:t>
      </w:r>
      <w:r w:rsidR="00975198" w:rsidRPr="008533E9">
        <w:rPr>
          <w:b/>
          <w:iCs/>
          <w:lang w:val="fr-FR"/>
        </w:rPr>
        <w:t xml:space="preserve">290 </w:t>
      </w:r>
      <w:r w:rsidR="008A5BEE">
        <w:rPr>
          <w:b/>
          <w:iCs/>
          <w:lang w:val="fr-FR"/>
        </w:rPr>
        <w:t>δισ.</w:t>
      </w:r>
      <w:r>
        <w:rPr>
          <w:b/>
          <w:iCs/>
          <w:lang w:val="el-GR"/>
        </w:rPr>
        <w:t xml:space="preserve"> € </w:t>
      </w:r>
      <w:r w:rsidR="00975198" w:rsidRPr="008533E9">
        <w:rPr>
          <w:b/>
          <w:iCs/>
          <w:lang w:val="fr-FR"/>
        </w:rPr>
        <w:t>χωρίς</w:t>
      </w:r>
      <w:r>
        <w:rPr>
          <w:b/>
          <w:iCs/>
          <w:lang w:val="el-GR"/>
        </w:rPr>
        <w:t xml:space="preserve"> </w:t>
      </w:r>
      <w:r w:rsidR="00975198" w:rsidRPr="008533E9">
        <w:rPr>
          <w:b/>
          <w:iCs/>
          <w:lang w:val="el-GR"/>
        </w:rPr>
        <w:t xml:space="preserve">το </w:t>
      </w:r>
      <w:r w:rsidR="00975198" w:rsidRPr="008533E9">
        <w:rPr>
          <w:b/>
          <w:iCs/>
          <w:lang w:val="fr-FR"/>
        </w:rPr>
        <w:t>βασικό ΠΔΠ</w:t>
      </w:r>
      <w:r>
        <w:rPr>
          <w:b/>
          <w:iCs/>
          <w:lang w:val="el-GR"/>
        </w:rPr>
        <w:t xml:space="preserve"> </w:t>
      </w:r>
      <w:r w:rsidR="00975198" w:rsidRPr="00975198">
        <w:rPr>
          <w:iCs/>
          <w:lang w:val="fr-FR"/>
        </w:rPr>
        <w:t xml:space="preserve">για την ανάκαμψη από την πανδημία </w:t>
      </w:r>
      <w:r>
        <w:rPr>
          <w:iCs/>
          <w:lang w:val="el-GR"/>
        </w:rPr>
        <w:t xml:space="preserve"> </w:t>
      </w:r>
    </w:p>
    <w:p w:rsidR="00975198" w:rsidRPr="00975198" w:rsidRDefault="00E5588A" w:rsidP="00975198">
      <w:pPr>
        <w:pStyle w:val="ListParagraph"/>
        <w:numPr>
          <w:ilvl w:val="0"/>
          <w:numId w:val="8"/>
        </w:numPr>
        <w:jc w:val="both"/>
        <w:rPr>
          <w:iCs/>
          <w:lang w:val="fr-FR"/>
        </w:rPr>
      </w:pPr>
      <w:r>
        <w:rPr>
          <w:b/>
          <w:iCs/>
          <w:lang w:val="fr-FR"/>
        </w:rPr>
        <w:t>2</w:t>
      </w:r>
      <w:r w:rsidR="00011FBF">
        <w:rPr>
          <w:b/>
          <w:iCs/>
          <w:lang w:val="el-GR"/>
        </w:rPr>
        <w:t>.</w:t>
      </w:r>
      <w:r w:rsidR="00975198" w:rsidRPr="008533E9">
        <w:rPr>
          <w:b/>
          <w:iCs/>
          <w:lang w:val="fr-FR"/>
        </w:rPr>
        <w:t xml:space="preserve">390 </w:t>
      </w:r>
      <w:r w:rsidR="008A5BEE">
        <w:rPr>
          <w:b/>
          <w:iCs/>
          <w:lang w:val="fr-FR"/>
        </w:rPr>
        <w:t>δισ.</w:t>
      </w:r>
      <w:r>
        <w:rPr>
          <w:b/>
          <w:iCs/>
          <w:lang w:val="el-GR"/>
        </w:rPr>
        <w:t xml:space="preserve"> € </w:t>
      </w:r>
      <w:r w:rsidR="008533E9">
        <w:rPr>
          <w:b/>
          <w:iCs/>
          <w:lang w:val="el-GR"/>
        </w:rPr>
        <w:t xml:space="preserve">με το </w:t>
      </w:r>
      <w:r w:rsidR="00975198" w:rsidRPr="008533E9">
        <w:rPr>
          <w:b/>
          <w:iCs/>
          <w:lang w:val="fr-FR"/>
        </w:rPr>
        <w:t>βασικό ΠΔΠ</w:t>
      </w:r>
      <w:r w:rsidR="00975198" w:rsidRPr="00975198">
        <w:rPr>
          <w:iCs/>
          <w:lang w:val="fr-FR"/>
        </w:rPr>
        <w:t xml:space="preserve"> </w:t>
      </w:r>
    </w:p>
    <w:p w:rsidR="00975198" w:rsidRPr="008533E9" w:rsidRDefault="00E5588A" w:rsidP="00975198">
      <w:pPr>
        <w:pStyle w:val="ListParagraph"/>
        <w:numPr>
          <w:ilvl w:val="0"/>
          <w:numId w:val="8"/>
        </w:numPr>
        <w:jc w:val="both"/>
        <w:rPr>
          <w:b/>
          <w:iCs/>
          <w:lang w:val="fr-FR"/>
        </w:rPr>
      </w:pPr>
      <w:r>
        <w:rPr>
          <w:b/>
          <w:iCs/>
          <w:lang w:val="fr-FR"/>
        </w:rPr>
        <w:t>3</w:t>
      </w:r>
      <w:r w:rsidR="00011FBF">
        <w:rPr>
          <w:b/>
          <w:iCs/>
          <w:lang w:val="el-GR"/>
        </w:rPr>
        <w:t>.</w:t>
      </w:r>
      <w:r w:rsidR="00975198" w:rsidRPr="008533E9">
        <w:rPr>
          <w:b/>
          <w:iCs/>
          <w:lang w:val="fr-FR"/>
        </w:rPr>
        <w:t xml:space="preserve">100 </w:t>
      </w:r>
      <w:r w:rsidR="008A5BEE">
        <w:rPr>
          <w:b/>
          <w:iCs/>
          <w:lang w:val="fr-FR"/>
        </w:rPr>
        <w:t>δισ.</w:t>
      </w:r>
      <w:r>
        <w:rPr>
          <w:b/>
          <w:iCs/>
          <w:lang w:val="el-GR"/>
        </w:rPr>
        <w:t xml:space="preserve"> € </w:t>
      </w:r>
      <w:r w:rsidR="00975198" w:rsidRPr="008533E9">
        <w:rPr>
          <w:b/>
          <w:iCs/>
          <w:lang w:val="el-GR"/>
        </w:rPr>
        <w:t xml:space="preserve">μαζί με το </w:t>
      </w:r>
      <w:r w:rsidR="00975198" w:rsidRPr="008533E9">
        <w:rPr>
          <w:b/>
          <w:iCs/>
          <w:lang w:val="fr-FR"/>
        </w:rPr>
        <w:t>αποτέλεσμα μόχλευσης</w:t>
      </w:r>
    </w:p>
    <w:p w:rsidR="00975198" w:rsidRPr="00975198" w:rsidRDefault="00975198" w:rsidP="00975198">
      <w:pPr>
        <w:pStyle w:val="ListParagraph"/>
        <w:numPr>
          <w:ilvl w:val="0"/>
          <w:numId w:val="8"/>
        </w:numPr>
        <w:jc w:val="both"/>
        <w:rPr>
          <w:rStyle w:val="SubtleEmphasis"/>
          <w:i w:val="0"/>
          <w:color w:val="auto"/>
          <w:lang w:val="fr-FR"/>
        </w:rPr>
      </w:pPr>
      <w:r w:rsidRPr="00975198">
        <w:rPr>
          <w:rStyle w:val="SubtleEmphasis"/>
          <w:i w:val="0"/>
          <w:color w:val="auto"/>
          <w:lang w:val="fr-FR"/>
        </w:rPr>
        <w:t>Το</w:t>
      </w:r>
      <w:r w:rsidR="00E5588A">
        <w:rPr>
          <w:rStyle w:val="SubtleEmphasis"/>
          <w:i w:val="0"/>
          <w:color w:val="auto"/>
          <w:lang w:val="el-GR"/>
        </w:rPr>
        <w:t xml:space="preserve"> </w:t>
      </w:r>
      <w:r w:rsidRPr="008533E9">
        <w:rPr>
          <w:rStyle w:val="SubtleEmphasis"/>
          <w:b/>
          <w:i w:val="0"/>
          <w:color w:val="auto"/>
          <w:lang w:val="fr-FR"/>
        </w:rPr>
        <w:t>25%</w:t>
      </w:r>
      <w:r w:rsidR="00E5588A">
        <w:rPr>
          <w:rStyle w:val="SubtleEmphasis"/>
          <w:b/>
          <w:i w:val="0"/>
          <w:color w:val="auto"/>
          <w:lang w:val="el-GR"/>
        </w:rPr>
        <w:t xml:space="preserve"> </w:t>
      </w:r>
      <w:r w:rsidRPr="00975198">
        <w:rPr>
          <w:rStyle w:val="SubtleEmphasis"/>
          <w:i w:val="0"/>
          <w:color w:val="auto"/>
          <w:lang w:val="fr-FR"/>
        </w:rPr>
        <w:t xml:space="preserve">του προϋπολογισμού της ΕΕ </w:t>
      </w:r>
      <w:r w:rsidRPr="00975198">
        <w:rPr>
          <w:rStyle w:val="SubtleEmphasis"/>
          <w:i w:val="0"/>
          <w:color w:val="auto"/>
          <w:lang w:val="el-GR"/>
        </w:rPr>
        <w:t>θα δαπανηθεί</w:t>
      </w:r>
      <w:r>
        <w:rPr>
          <w:rStyle w:val="SubtleEmphasis"/>
          <w:i w:val="0"/>
          <w:color w:val="auto"/>
          <w:lang w:val="el-GR"/>
        </w:rPr>
        <w:t xml:space="preserve"> σε</w:t>
      </w:r>
      <w:r w:rsidR="00E5588A">
        <w:rPr>
          <w:rStyle w:val="SubtleEmphasis"/>
          <w:i w:val="0"/>
          <w:color w:val="auto"/>
          <w:lang w:val="el-GR"/>
        </w:rPr>
        <w:t xml:space="preserve"> </w:t>
      </w:r>
      <w:r w:rsidR="008A5BEE">
        <w:rPr>
          <w:rStyle w:val="SubtleEmphasis"/>
          <w:i w:val="0"/>
          <w:color w:val="auto"/>
          <w:lang w:val="el-GR"/>
        </w:rPr>
        <w:t>«κλιματικές</w:t>
      </w:r>
      <w:r w:rsidR="008533E9">
        <w:rPr>
          <w:rStyle w:val="SubtleEmphasis"/>
          <w:i w:val="0"/>
          <w:color w:val="auto"/>
          <w:lang w:val="el-GR"/>
        </w:rPr>
        <w:t xml:space="preserve">» </w:t>
      </w:r>
      <w:r w:rsidR="008533E9">
        <w:rPr>
          <w:rStyle w:val="SubtleEmphasis"/>
          <w:i w:val="0"/>
          <w:color w:val="auto"/>
          <w:lang w:val="fr-FR"/>
        </w:rPr>
        <w:t>επενδύσεις</w:t>
      </w:r>
    </w:p>
    <w:p w:rsidR="00E5588A" w:rsidRDefault="00E5588A" w:rsidP="00975198">
      <w:pPr>
        <w:pStyle w:val="Subtitle"/>
        <w:spacing w:before="240"/>
        <w:jc w:val="both"/>
        <w:rPr>
          <w:color w:val="C00000"/>
          <w:lang w:val="el-GR"/>
        </w:rPr>
      </w:pPr>
    </w:p>
    <w:p w:rsidR="006C611F" w:rsidRPr="00975198" w:rsidRDefault="00975198" w:rsidP="00975198">
      <w:pPr>
        <w:pStyle w:val="Subtitle"/>
        <w:spacing w:before="240"/>
        <w:jc w:val="both"/>
        <w:rPr>
          <w:color w:val="C00000"/>
          <w:lang w:val="fr-FR"/>
        </w:rPr>
      </w:pPr>
      <w:r w:rsidRPr="00975198">
        <w:rPr>
          <w:color w:val="C00000"/>
          <w:lang w:val="el-GR"/>
        </w:rPr>
        <w:t>Αναθεωρημένη</w:t>
      </w:r>
      <w:r w:rsidR="00E5588A">
        <w:rPr>
          <w:color w:val="C00000"/>
          <w:lang w:val="el-GR"/>
        </w:rPr>
        <w:t xml:space="preserve"> </w:t>
      </w:r>
      <w:r w:rsidRPr="00975198">
        <w:rPr>
          <w:color w:val="C00000"/>
          <w:lang w:val="el-GR"/>
        </w:rPr>
        <w:t>πρόταση</w:t>
      </w:r>
      <w:r w:rsidR="00E5588A">
        <w:rPr>
          <w:color w:val="C00000"/>
          <w:lang w:val="el-GR"/>
        </w:rPr>
        <w:t xml:space="preserve"> </w:t>
      </w:r>
      <w:r w:rsidRPr="00975198">
        <w:rPr>
          <w:color w:val="C00000"/>
          <w:lang w:val="el-GR"/>
        </w:rPr>
        <w:t>ΠΔΠ</w:t>
      </w:r>
      <w:r w:rsidRPr="00975198">
        <w:rPr>
          <w:color w:val="C00000"/>
          <w:lang w:val="fr-FR"/>
        </w:rPr>
        <w:t xml:space="preserve"> 2021-2027 </w:t>
      </w:r>
    </w:p>
    <w:p w:rsidR="00975198" w:rsidRPr="00011FBF" w:rsidRDefault="00975198" w:rsidP="00975198">
      <w:pPr>
        <w:jc w:val="both"/>
        <w:rPr>
          <w:b/>
          <w:i/>
          <w:lang w:val="el-GR"/>
        </w:rPr>
      </w:pPr>
      <w:r w:rsidRPr="00975198">
        <w:rPr>
          <w:b/>
          <w:i/>
          <w:lang w:val="fr-FR"/>
        </w:rPr>
        <w:t>Πολυετές</w:t>
      </w:r>
      <w:r w:rsidR="00E5588A">
        <w:rPr>
          <w:b/>
          <w:i/>
          <w:lang w:val="el-GR"/>
        </w:rPr>
        <w:t xml:space="preserve"> Δ</w:t>
      </w:r>
      <w:r w:rsidRPr="00975198">
        <w:rPr>
          <w:b/>
          <w:i/>
          <w:lang w:val="fr-FR"/>
        </w:rPr>
        <w:t xml:space="preserve">ημοσιονομικό </w:t>
      </w:r>
      <w:r w:rsidR="00E5588A">
        <w:rPr>
          <w:b/>
          <w:i/>
          <w:lang w:val="el-GR"/>
        </w:rPr>
        <w:t>Π</w:t>
      </w:r>
      <w:r w:rsidRPr="00975198">
        <w:rPr>
          <w:b/>
          <w:i/>
          <w:lang w:val="fr-FR"/>
        </w:rPr>
        <w:t>λαίσιο 2021-2027</w:t>
      </w:r>
      <w:r w:rsidR="00E5588A">
        <w:rPr>
          <w:b/>
          <w:i/>
          <w:lang w:val="el-GR"/>
        </w:rPr>
        <w:t xml:space="preserve">: </w:t>
      </w:r>
      <w:r w:rsidRPr="00975198">
        <w:rPr>
          <w:b/>
          <w:i/>
          <w:lang w:val="fr-FR"/>
        </w:rPr>
        <w:t xml:space="preserve"> 1</w:t>
      </w:r>
      <w:r w:rsidR="00E5588A">
        <w:rPr>
          <w:b/>
          <w:i/>
          <w:lang w:val="el-GR"/>
        </w:rPr>
        <w:t xml:space="preserve"> </w:t>
      </w:r>
      <w:r w:rsidRPr="00975198">
        <w:rPr>
          <w:b/>
          <w:i/>
          <w:lang w:val="fr-FR"/>
        </w:rPr>
        <w:t xml:space="preserve">100 </w:t>
      </w:r>
      <w:r w:rsidR="008A5BEE">
        <w:rPr>
          <w:b/>
          <w:i/>
          <w:lang w:val="fr-FR"/>
        </w:rPr>
        <w:t>δισ.</w:t>
      </w:r>
      <w:r w:rsidR="00011FBF">
        <w:rPr>
          <w:b/>
          <w:i/>
          <w:lang w:val="el-GR"/>
        </w:rPr>
        <w:t xml:space="preserve"> €</w:t>
      </w:r>
    </w:p>
    <w:p w:rsidR="00975198" w:rsidRPr="00975198" w:rsidRDefault="00975198" w:rsidP="008533E9">
      <w:pPr>
        <w:pStyle w:val="ListParagraph"/>
        <w:numPr>
          <w:ilvl w:val="0"/>
          <w:numId w:val="10"/>
        </w:numPr>
        <w:contextualSpacing w:val="0"/>
        <w:jc w:val="both"/>
        <w:rPr>
          <w:lang w:val="el-GR"/>
        </w:rPr>
      </w:pPr>
      <w:r w:rsidRPr="008533E9">
        <w:rPr>
          <w:b/>
          <w:lang w:val="el-GR"/>
        </w:rPr>
        <w:t xml:space="preserve">+5,2 </w:t>
      </w:r>
      <w:r w:rsidR="008A5BEE">
        <w:rPr>
          <w:b/>
          <w:lang w:val="el-GR"/>
        </w:rPr>
        <w:t>δισ.</w:t>
      </w:r>
      <w:r w:rsidRPr="008533E9">
        <w:rPr>
          <w:b/>
          <w:lang w:val="el-GR"/>
        </w:rPr>
        <w:t xml:space="preserve"> «καθαρά» πάνω από την πρόταση </w:t>
      </w:r>
      <w:r w:rsidRPr="008533E9">
        <w:rPr>
          <w:b/>
        </w:rPr>
        <w:t>Michel</w:t>
      </w:r>
      <w:r w:rsidR="00011FBF">
        <w:rPr>
          <w:lang w:val="el-GR"/>
        </w:rPr>
        <w:t xml:space="preserve"> για 1.</w:t>
      </w:r>
      <w:r w:rsidRPr="00975198">
        <w:rPr>
          <w:lang w:val="el-GR"/>
        </w:rPr>
        <w:t xml:space="preserve">095 </w:t>
      </w:r>
      <w:r w:rsidR="008A5BEE">
        <w:rPr>
          <w:lang w:val="el-GR"/>
        </w:rPr>
        <w:t>δισ.</w:t>
      </w:r>
      <w:r w:rsidRPr="00975198">
        <w:rPr>
          <w:lang w:val="el-GR"/>
        </w:rPr>
        <w:t xml:space="preserve"> </w:t>
      </w:r>
      <w:r w:rsidR="00011FBF">
        <w:rPr>
          <w:lang w:val="el-GR"/>
        </w:rPr>
        <w:t>€</w:t>
      </w:r>
      <w:r w:rsidRPr="00975198">
        <w:rPr>
          <w:lang w:val="el-GR"/>
        </w:rPr>
        <w:t xml:space="preserve"> </w:t>
      </w:r>
    </w:p>
    <w:p w:rsidR="00975198" w:rsidRPr="00975198" w:rsidRDefault="00975198" w:rsidP="008533E9">
      <w:pPr>
        <w:pStyle w:val="ListParagraph"/>
        <w:numPr>
          <w:ilvl w:val="0"/>
          <w:numId w:val="10"/>
        </w:numPr>
        <w:contextualSpacing w:val="0"/>
        <w:jc w:val="both"/>
        <w:rPr>
          <w:lang w:val="el-GR"/>
        </w:rPr>
      </w:pPr>
      <w:r w:rsidRPr="008533E9">
        <w:rPr>
          <w:b/>
          <w:lang w:val="el-GR"/>
        </w:rPr>
        <w:t xml:space="preserve">-34,6 </w:t>
      </w:r>
      <w:r w:rsidR="008A5BEE">
        <w:rPr>
          <w:b/>
          <w:lang w:val="el-GR"/>
        </w:rPr>
        <w:t>δισ.</w:t>
      </w:r>
      <w:r w:rsidRPr="008533E9">
        <w:rPr>
          <w:b/>
          <w:lang w:val="el-GR"/>
        </w:rPr>
        <w:t xml:space="preserve"> «καθαρά» κάτω από την πρόταση της Επιτροπής του Μαΐου 2018</w:t>
      </w:r>
      <w:r w:rsidRPr="00975198">
        <w:rPr>
          <w:lang w:val="el-GR"/>
        </w:rPr>
        <w:t xml:space="preserve"> για 1.065,4 </w:t>
      </w:r>
      <w:r w:rsidR="008A5BEE">
        <w:rPr>
          <w:lang w:val="el-GR"/>
        </w:rPr>
        <w:t>δισ.</w:t>
      </w:r>
      <w:r w:rsidRPr="00975198">
        <w:rPr>
          <w:lang w:val="el-GR"/>
        </w:rPr>
        <w:t xml:space="preserve"> </w:t>
      </w:r>
      <w:r w:rsidR="00011FBF">
        <w:rPr>
          <w:lang w:val="el-GR"/>
        </w:rPr>
        <w:t>€</w:t>
      </w:r>
    </w:p>
    <w:p w:rsidR="00975198" w:rsidRPr="00975198" w:rsidRDefault="00975198" w:rsidP="008533E9">
      <w:pPr>
        <w:pStyle w:val="ListParagraph"/>
        <w:numPr>
          <w:ilvl w:val="0"/>
          <w:numId w:val="10"/>
        </w:numPr>
        <w:contextualSpacing w:val="0"/>
        <w:jc w:val="both"/>
        <w:rPr>
          <w:lang w:val="el-GR"/>
        </w:rPr>
      </w:pPr>
      <w:r w:rsidRPr="008533E9">
        <w:rPr>
          <w:b/>
          <w:lang w:val="el-GR"/>
        </w:rPr>
        <w:t xml:space="preserve">-224,1 </w:t>
      </w:r>
      <w:r w:rsidR="008A5BEE">
        <w:rPr>
          <w:b/>
          <w:lang w:val="el-GR"/>
        </w:rPr>
        <w:t>δισ.</w:t>
      </w:r>
      <w:r w:rsidRPr="008533E9">
        <w:rPr>
          <w:b/>
          <w:lang w:val="el-GR"/>
        </w:rPr>
        <w:t xml:space="preserve"> κάτω από τη θέση του ΕΚ</w:t>
      </w:r>
      <w:r w:rsidR="00011FBF">
        <w:rPr>
          <w:b/>
          <w:lang w:val="el-GR"/>
        </w:rPr>
        <w:t xml:space="preserve">  </w:t>
      </w:r>
      <w:r w:rsidR="001B23AF" w:rsidRPr="001B23AF">
        <w:rPr>
          <w:lang w:val="el-GR"/>
        </w:rPr>
        <w:t>(1</w:t>
      </w:r>
      <w:r w:rsidR="00011FBF">
        <w:rPr>
          <w:lang w:val="el-GR"/>
        </w:rPr>
        <w:t>.</w:t>
      </w:r>
      <w:r w:rsidR="001B23AF" w:rsidRPr="001B23AF">
        <w:rPr>
          <w:lang w:val="el-GR"/>
        </w:rPr>
        <w:t xml:space="preserve">324,1 δις) </w:t>
      </w:r>
      <w:r w:rsidR="001B23AF">
        <w:rPr>
          <w:lang w:val="el-GR"/>
        </w:rPr>
        <w:t>όπως εκφράστηκε</w:t>
      </w:r>
      <w:r w:rsidRPr="00975198">
        <w:rPr>
          <w:lang w:val="el-GR"/>
        </w:rPr>
        <w:t xml:space="preserve"> στην ενδιάμεση έκθεσή του </w:t>
      </w:r>
      <w:r>
        <w:rPr>
          <w:lang w:val="el-GR"/>
        </w:rPr>
        <w:t xml:space="preserve">τον Νοεμβρίου 2018 </w:t>
      </w:r>
    </w:p>
    <w:p w:rsidR="00011FBF" w:rsidRDefault="00975198" w:rsidP="008533E9">
      <w:pPr>
        <w:pStyle w:val="ListParagraph"/>
        <w:numPr>
          <w:ilvl w:val="0"/>
          <w:numId w:val="10"/>
        </w:numPr>
        <w:contextualSpacing w:val="0"/>
        <w:jc w:val="both"/>
        <w:rPr>
          <w:lang w:val="el-GR"/>
        </w:rPr>
      </w:pPr>
      <w:r w:rsidRPr="008533E9">
        <w:rPr>
          <w:b/>
          <w:lang w:val="el-GR"/>
        </w:rPr>
        <w:t xml:space="preserve">Μόνιμη αύξηση των ανώτατων ορίων </w:t>
      </w:r>
      <w:r w:rsidR="001B23AF" w:rsidRPr="008533E9">
        <w:rPr>
          <w:b/>
          <w:lang w:val="el-GR"/>
        </w:rPr>
        <w:t>των Ιδίων Πόρων</w:t>
      </w:r>
      <w:r w:rsidRPr="00975198">
        <w:rPr>
          <w:lang w:val="el-GR"/>
        </w:rPr>
        <w:t xml:space="preserve"> σε 1,4% για πληρωμές και 1,46% για αναλήψεις υποχρεώσεων</w:t>
      </w:r>
    </w:p>
    <w:p w:rsidR="00975198" w:rsidRDefault="00011FBF" w:rsidP="00011FBF">
      <w:pPr>
        <w:pStyle w:val="ListParagraph"/>
        <w:ind w:left="360"/>
        <w:contextualSpacing w:val="0"/>
        <w:jc w:val="both"/>
        <w:rPr>
          <w:lang w:val="el-GR"/>
        </w:rPr>
      </w:pPr>
      <w:r>
        <w:rPr>
          <w:b/>
          <w:lang w:val="el-GR"/>
        </w:rPr>
        <w:t>____________________________________________________________________________________</w:t>
      </w:r>
      <w:r w:rsidR="00975198" w:rsidRPr="00975198">
        <w:rPr>
          <w:lang w:val="el-GR"/>
        </w:rPr>
        <w:t xml:space="preserve"> </w:t>
      </w:r>
    </w:p>
    <w:p w:rsidR="00022663" w:rsidRPr="00975198" w:rsidRDefault="00022663" w:rsidP="00022663">
      <w:pPr>
        <w:pStyle w:val="ListParagraph"/>
        <w:ind w:left="360"/>
        <w:contextualSpacing w:val="0"/>
        <w:jc w:val="both"/>
        <w:rPr>
          <w:lang w:val="el-GR"/>
        </w:rPr>
      </w:pPr>
    </w:p>
    <w:p w:rsidR="00143D5E" w:rsidRPr="001B23AF" w:rsidRDefault="001B23AF" w:rsidP="00975198">
      <w:pPr>
        <w:jc w:val="both"/>
        <w:rPr>
          <w:rFonts w:eastAsiaTheme="minorEastAsia"/>
          <w:color w:val="C00000"/>
          <w:spacing w:val="15"/>
          <w:lang w:val="el-GR"/>
        </w:rPr>
      </w:pPr>
      <w:r w:rsidRPr="001B23AF">
        <w:rPr>
          <w:rFonts w:eastAsiaTheme="minorEastAsia"/>
          <w:color w:val="C00000"/>
          <w:spacing w:val="15"/>
          <w:lang w:val="el-GR"/>
        </w:rPr>
        <w:t>Ευρωπαϊκό μέσο ανάκαμψης - “</w:t>
      </w:r>
      <w:r w:rsidRPr="001B23AF">
        <w:rPr>
          <w:rFonts w:eastAsiaTheme="minorEastAsia"/>
          <w:color w:val="C00000"/>
          <w:spacing w:val="15"/>
        </w:rPr>
        <w:t>NextGenerationEU</w:t>
      </w:r>
      <w:r w:rsidRPr="001B23AF">
        <w:rPr>
          <w:rFonts w:eastAsiaTheme="minorEastAsia"/>
          <w:color w:val="C00000"/>
          <w:spacing w:val="15"/>
          <w:lang w:val="el-GR"/>
        </w:rPr>
        <w:t>” (</w:t>
      </w:r>
      <w:r w:rsidRPr="001B23AF">
        <w:rPr>
          <w:rFonts w:eastAsiaTheme="minorEastAsia"/>
          <w:color w:val="C00000"/>
          <w:spacing w:val="15"/>
        </w:rPr>
        <w:t>NGE</w:t>
      </w:r>
      <w:r w:rsidRPr="001B23AF">
        <w:rPr>
          <w:rFonts w:eastAsiaTheme="minorEastAsia"/>
          <w:color w:val="C00000"/>
          <w:spacing w:val="15"/>
          <w:lang w:val="el-GR"/>
        </w:rPr>
        <w:t>)</w:t>
      </w:r>
    </w:p>
    <w:p w:rsidR="00143D5E" w:rsidRPr="001B23AF" w:rsidRDefault="001B23AF" w:rsidP="00CB14E2">
      <w:pPr>
        <w:jc w:val="both"/>
        <w:rPr>
          <w:b/>
          <w:i/>
          <w:lang w:val="el-GR"/>
        </w:rPr>
      </w:pPr>
      <w:r w:rsidRPr="001B23AF">
        <w:rPr>
          <w:b/>
          <w:i/>
          <w:lang w:val="el-GR"/>
        </w:rPr>
        <w:t xml:space="preserve">750 </w:t>
      </w:r>
      <w:r w:rsidR="008A5BEE">
        <w:rPr>
          <w:b/>
          <w:i/>
          <w:lang w:val="el-GR"/>
        </w:rPr>
        <w:t>δισ.</w:t>
      </w:r>
      <w:r w:rsidRPr="001B23AF">
        <w:rPr>
          <w:b/>
          <w:i/>
          <w:lang w:val="el-GR"/>
        </w:rPr>
        <w:t xml:space="preserve"> ευρώ (500 σε επιχορηγήσεις και 250 σε δάνεια)</w:t>
      </w:r>
    </w:p>
    <w:p w:rsidR="001B23AF" w:rsidRPr="001B23AF" w:rsidRDefault="001B23AF" w:rsidP="008533E9">
      <w:pPr>
        <w:pStyle w:val="ListParagraph"/>
        <w:numPr>
          <w:ilvl w:val="0"/>
          <w:numId w:val="11"/>
        </w:numPr>
        <w:contextualSpacing w:val="0"/>
        <w:jc w:val="both"/>
        <w:rPr>
          <w:lang w:val="el-GR"/>
        </w:rPr>
      </w:pPr>
      <w:r w:rsidRPr="001B23AF">
        <w:rPr>
          <w:lang w:val="el-GR"/>
        </w:rPr>
        <w:t xml:space="preserve">Τα </w:t>
      </w:r>
      <w:r w:rsidRPr="008A5BEE">
        <w:rPr>
          <w:b/>
          <w:lang w:val="el-GR"/>
        </w:rPr>
        <w:t>κεφάλαια θα αντληθούν από τις χρηματοπιστωτικές αγορές</w:t>
      </w:r>
      <w:r w:rsidRPr="001B23AF">
        <w:rPr>
          <w:lang w:val="el-GR"/>
        </w:rPr>
        <w:t xml:space="preserve"> και θα υποστηρίζονται από την εγγύηση του προϋπολογισμού της ΕΕ με προσωρινή αύξηση του ανώτατου ορίου των ιδίων πόρων κατά + 0,6% για να φθάσει συνολικά στο 2% του ΑΕΕ της ΕΕ</w:t>
      </w:r>
    </w:p>
    <w:p w:rsidR="001B23AF" w:rsidRPr="001B23AF" w:rsidRDefault="001B23AF" w:rsidP="008533E9">
      <w:pPr>
        <w:pStyle w:val="ListParagraph"/>
        <w:numPr>
          <w:ilvl w:val="0"/>
          <w:numId w:val="11"/>
        </w:numPr>
        <w:contextualSpacing w:val="0"/>
        <w:jc w:val="both"/>
        <w:rPr>
          <w:lang w:val="el-GR"/>
        </w:rPr>
      </w:pPr>
      <w:r w:rsidRPr="001B23AF">
        <w:rPr>
          <w:lang w:val="el-GR"/>
        </w:rPr>
        <w:t xml:space="preserve">Τα </w:t>
      </w:r>
      <w:r w:rsidRPr="008A5BEE">
        <w:rPr>
          <w:b/>
          <w:lang w:val="el-GR"/>
        </w:rPr>
        <w:t>κονδύλια θα διοχετευθούν μέσω του προϋπολογισμού της ΕΕ</w:t>
      </w:r>
      <w:r w:rsidRPr="001B23AF">
        <w:rPr>
          <w:lang w:val="el-GR"/>
        </w:rPr>
        <w:t xml:space="preserve"> για τη δημιουργία ή την ενίσχυση προγραμμάτων της ΕΕ, έως τις 31.12.2024</w:t>
      </w:r>
      <w:r>
        <w:rPr>
          <w:lang w:val="el-GR"/>
        </w:rPr>
        <w:t>, για περίοδο 4 ετών</w:t>
      </w:r>
    </w:p>
    <w:p w:rsidR="001B23AF" w:rsidRPr="001B23AF" w:rsidRDefault="001B23AF" w:rsidP="008533E9">
      <w:pPr>
        <w:pStyle w:val="ListParagraph"/>
        <w:numPr>
          <w:ilvl w:val="0"/>
          <w:numId w:val="11"/>
        </w:numPr>
        <w:contextualSpacing w:val="0"/>
        <w:jc w:val="both"/>
        <w:rPr>
          <w:lang w:val="el-GR"/>
        </w:rPr>
      </w:pPr>
      <w:r w:rsidRPr="001B23AF">
        <w:rPr>
          <w:lang w:val="el-GR"/>
        </w:rPr>
        <w:t xml:space="preserve">Τα </w:t>
      </w:r>
      <w:r w:rsidRPr="008A5BEE">
        <w:rPr>
          <w:b/>
          <w:lang w:val="el-GR"/>
        </w:rPr>
        <w:t>χρήματα θα επιστραφούν μετά το 2028 και έως το 2058 για περίοδο 30 ετών</w:t>
      </w:r>
      <w:r w:rsidRPr="001B23AF">
        <w:rPr>
          <w:lang w:val="el-GR"/>
        </w:rPr>
        <w:t xml:space="preserve">, αλλά οι </w:t>
      </w:r>
      <w:r w:rsidRPr="008A5BEE">
        <w:rPr>
          <w:b/>
          <w:lang w:val="el-GR"/>
        </w:rPr>
        <w:t>πληρωμές τόκων θα ξεκινήσουν από το 2021</w:t>
      </w:r>
      <w:r w:rsidRPr="001B23AF">
        <w:rPr>
          <w:lang w:val="el-GR"/>
        </w:rPr>
        <w:t xml:space="preserve">. Ένα εκτιμώμενο ποσό </w:t>
      </w:r>
      <w:r w:rsidRPr="008A5BEE">
        <w:rPr>
          <w:b/>
          <w:lang w:val="el-GR"/>
        </w:rPr>
        <w:t xml:space="preserve">17,4 δισ. </w:t>
      </w:r>
      <w:r w:rsidR="008A5BEE">
        <w:rPr>
          <w:b/>
          <w:lang w:val="el-GR"/>
        </w:rPr>
        <w:t>€</w:t>
      </w:r>
      <w:r w:rsidRPr="008A5BEE">
        <w:rPr>
          <w:b/>
          <w:lang w:val="el-GR"/>
        </w:rPr>
        <w:t xml:space="preserve"> θα χρεωθεί</w:t>
      </w:r>
      <w:r w:rsidRPr="001B23AF">
        <w:rPr>
          <w:lang w:val="el-GR"/>
        </w:rPr>
        <w:t xml:space="preserve"> στον προϋπολογισμό της ΕΕ βάσει του ΠΔΠ 2021-2027</w:t>
      </w:r>
    </w:p>
    <w:p w:rsidR="001B23AF" w:rsidRPr="003E2E3E" w:rsidRDefault="001B23AF" w:rsidP="008533E9">
      <w:pPr>
        <w:pStyle w:val="ListParagraph"/>
        <w:numPr>
          <w:ilvl w:val="0"/>
          <w:numId w:val="11"/>
        </w:numPr>
        <w:contextualSpacing w:val="0"/>
        <w:jc w:val="both"/>
        <w:rPr>
          <w:b/>
          <w:i/>
          <w:lang w:val="el-GR"/>
        </w:rPr>
      </w:pPr>
      <w:r w:rsidRPr="001B23AF">
        <w:rPr>
          <w:lang w:val="el-GR"/>
        </w:rPr>
        <w:t xml:space="preserve">Το </w:t>
      </w:r>
      <w:r w:rsidRPr="008A5BEE">
        <w:rPr>
          <w:b/>
          <w:lang w:val="el-GR"/>
        </w:rPr>
        <w:t>κόστος δανεισμού θα χρηματοδοτηθεί μέσω νέων ιδίων πόρων</w:t>
      </w:r>
      <w:r w:rsidRPr="001B23AF">
        <w:rPr>
          <w:lang w:val="el-GR"/>
        </w:rPr>
        <w:t>, όπως το Σύστημα Εμπορίας Εκπομπών (</w:t>
      </w:r>
      <w:r>
        <w:t>ETS</w:t>
      </w:r>
      <w:r w:rsidRPr="001B23AF">
        <w:rPr>
          <w:lang w:val="el-GR"/>
        </w:rPr>
        <w:t xml:space="preserve">), συμπεριλαμβανομένων των </w:t>
      </w:r>
      <w:r w:rsidR="008A5BEE">
        <w:rPr>
          <w:lang w:val="el-GR"/>
        </w:rPr>
        <w:t xml:space="preserve">κλάδων των </w:t>
      </w:r>
      <w:r w:rsidR="003E2E3E">
        <w:rPr>
          <w:lang w:val="el-GR"/>
        </w:rPr>
        <w:t>αερομεταφορών και της ναυτιλίας</w:t>
      </w:r>
      <w:r w:rsidRPr="001B23AF">
        <w:rPr>
          <w:lang w:val="el-GR"/>
        </w:rPr>
        <w:t xml:space="preserve">, ενός </w:t>
      </w:r>
      <w:r w:rsidR="003E2E3E">
        <w:rPr>
          <w:lang w:val="el-GR"/>
        </w:rPr>
        <w:t xml:space="preserve">Συνοριακού </w:t>
      </w:r>
      <w:r w:rsidR="003E2E3E" w:rsidRPr="001B23AF">
        <w:rPr>
          <w:lang w:val="el-GR"/>
        </w:rPr>
        <w:t>Μηχανισμού Προσαρμογής Άνθρακα</w:t>
      </w:r>
      <w:r w:rsidR="008A5BEE">
        <w:rPr>
          <w:lang w:val="el-GR"/>
        </w:rPr>
        <w:t xml:space="preserve">, </w:t>
      </w:r>
      <w:r w:rsidRPr="001B23AF">
        <w:rPr>
          <w:lang w:val="el-GR"/>
        </w:rPr>
        <w:t xml:space="preserve">ενός ιδίου πόρου </w:t>
      </w:r>
      <w:r w:rsidR="003E2E3E">
        <w:rPr>
          <w:lang w:val="el-GR"/>
        </w:rPr>
        <w:t>από</w:t>
      </w:r>
      <w:r w:rsidRPr="001B23AF">
        <w:rPr>
          <w:lang w:val="el-GR"/>
        </w:rPr>
        <w:t xml:space="preserve"> τη λειτουργία μεγάλων εταιρειών</w:t>
      </w:r>
      <w:r w:rsidR="003E2E3E">
        <w:rPr>
          <w:lang w:val="el-GR"/>
        </w:rPr>
        <w:t>, που αναφέρεται στην πρόσβασή τους στην ενιαία αγορά</w:t>
      </w:r>
      <w:r w:rsidRPr="001B23AF">
        <w:rPr>
          <w:lang w:val="el-GR"/>
        </w:rPr>
        <w:t xml:space="preserve"> καθώς και </w:t>
      </w:r>
      <w:r w:rsidR="003E2E3E">
        <w:rPr>
          <w:lang w:val="el-GR"/>
        </w:rPr>
        <w:t>ενός φόρου ψηφιακών συναλλαγών, που επιβάλλεται στις</w:t>
      </w:r>
      <w:r w:rsidRPr="001B23AF">
        <w:rPr>
          <w:lang w:val="el-GR"/>
        </w:rPr>
        <w:t xml:space="preserve"> πολύ μεγάλες ψηφιακές εταιρείες. </w:t>
      </w:r>
      <w:r w:rsidR="003E2E3E">
        <w:rPr>
          <w:lang w:val="el-GR"/>
        </w:rPr>
        <w:t xml:space="preserve">Αυτοί οι νέοι Ίδιοι Πόροι θα </w:t>
      </w:r>
      <w:r w:rsidR="003E2E3E">
        <w:rPr>
          <w:lang w:val="el-GR"/>
        </w:rPr>
        <w:lastRenderedPageBreak/>
        <w:t>προστεθούν στις υπάρχουσες προτάσεις</w:t>
      </w:r>
      <w:r w:rsidRPr="001B23AF">
        <w:rPr>
          <w:lang w:val="el-GR"/>
        </w:rPr>
        <w:t xml:space="preserve"> της Επιτροπής για ιδίους πόρους </w:t>
      </w:r>
      <w:r w:rsidR="003E2E3E">
        <w:rPr>
          <w:lang w:val="el-GR"/>
        </w:rPr>
        <w:t>που περιλαμβάνουν τον απλοποιημένο φόρο</w:t>
      </w:r>
      <w:r w:rsidRPr="001B23AF">
        <w:rPr>
          <w:lang w:val="el-GR"/>
        </w:rPr>
        <w:t xml:space="preserve"> προστιθέμενης αξίας και </w:t>
      </w:r>
      <w:r w:rsidR="003E2E3E">
        <w:rPr>
          <w:lang w:val="el-GR"/>
        </w:rPr>
        <w:t>τον φόρο στα μη ανακυκλωμένα πλαστικά</w:t>
      </w:r>
      <w:r w:rsidRPr="001B23AF">
        <w:rPr>
          <w:lang w:val="el-GR"/>
        </w:rPr>
        <w:t>.</w:t>
      </w:r>
    </w:p>
    <w:p w:rsidR="003E2E3E" w:rsidRPr="001B23AF" w:rsidRDefault="003E2E3E" w:rsidP="003E2E3E">
      <w:pPr>
        <w:pStyle w:val="ListParagraph"/>
        <w:ind w:left="360"/>
        <w:jc w:val="both"/>
        <w:rPr>
          <w:b/>
          <w:i/>
          <w:lang w:val="el-GR"/>
        </w:rPr>
      </w:pPr>
    </w:p>
    <w:p w:rsidR="003E2E3E" w:rsidRPr="003E2E3E" w:rsidRDefault="003E2E3E" w:rsidP="003E2E3E">
      <w:pPr>
        <w:pStyle w:val="ListParagraph"/>
        <w:ind w:left="0"/>
        <w:jc w:val="both"/>
        <w:rPr>
          <w:b/>
          <w:i/>
          <w:lang w:val="el-GR"/>
        </w:rPr>
      </w:pPr>
      <w:r w:rsidRPr="003E2E3E">
        <w:rPr>
          <w:b/>
          <w:i/>
          <w:lang w:val="el-GR"/>
        </w:rPr>
        <w:t xml:space="preserve">Τα 750 δισ. </w:t>
      </w:r>
      <w:r w:rsidR="00011FBF">
        <w:rPr>
          <w:b/>
          <w:i/>
          <w:lang w:val="el-GR"/>
        </w:rPr>
        <w:t>ε</w:t>
      </w:r>
      <w:r w:rsidRPr="003E2E3E">
        <w:rPr>
          <w:b/>
          <w:i/>
          <w:lang w:val="el-GR"/>
        </w:rPr>
        <w:t>υρώ του ευρωπαϊκού μέσου ανάκαμψης - «NextGeneration EU» (</w:t>
      </w:r>
      <w:r w:rsidRPr="003E2E3E">
        <w:rPr>
          <w:b/>
          <w:i/>
        </w:rPr>
        <w:t>NGE</w:t>
      </w:r>
      <w:r w:rsidRPr="003E2E3E">
        <w:rPr>
          <w:b/>
          <w:i/>
          <w:lang w:val="el-GR"/>
        </w:rPr>
        <w:t>) θα χρησιμοποιηθούν ως εξής:</w:t>
      </w:r>
    </w:p>
    <w:tbl>
      <w:tblPr>
        <w:tblStyle w:val="TableGrid"/>
        <w:tblW w:w="5000" w:type="pct"/>
        <w:tblLook w:val="04A0"/>
      </w:tblPr>
      <w:tblGrid>
        <w:gridCol w:w="3305"/>
        <w:gridCol w:w="3305"/>
        <w:gridCol w:w="3352"/>
      </w:tblGrid>
      <w:tr w:rsidR="00370C7A" w:rsidRPr="00022663" w:rsidTr="00370C7A">
        <w:tc>
          <w:tcPr>
            <w:tcW w:w="1666" w:type="pct"/>
          </w:tcPr>
          <w:p w:rsidR="00370C7A" w:rsidRPr="003E2E3E" w:rsidRDefault="003E2E3E" w:rsidP="0017132A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</w:t>
            </w:r>
            <w:r w:rsidRPr="003E2E3E">
              <w:rPr>
                <w:b/>
                <w:sz w:val="18"/>
                <w:szCs w:val="18"/>
                <w:vertAlign w:val="superscript"/>
                <w:lang w:val="el-GR"/>
              </w:rPr>
              <w:t>ος</w:t>
            </w:r>
            <w:r>
              <w:rPr>
                <w:b/>
                <w:sz w:val="18"/>
                <w:szCs w:val="18"/>
                <w:lang w:val="el-GR"/>
              </w:rPr>
              <w:t xml:space="preserve"> Πυλώνας</w:t>
            </w:r>
          </w:p>
          <w:p w:rsidR="00370C7A" w:rsidRPr="003E2E3E" w:rsidRDefault="003E2E3E" w:rsidP="0017132A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Υποστήριξη της ανάκαμψης των Κ.Μ.</w:t>
            </w:r>
          </w:p>
        </w:tc>
        <w:tc>
          <w:tcPr>
            <w:tcW w:w="1666" w:type="pct"/>
          </w:tcPr>
          <w:p w:rsidR="00370C7A" w:rsidRPr="003E2E3E" w:rsidRDefault="003E2E3E" w:rsidP="0017132A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2</w:t>
            </w:r>
            <w:r w:rsidRPr="003E2E3E">
              <w:rPr>
                <w:b/>
                <w:sz w:val="18"/>
                <w:szCs w:val="18"/>
                <w:vertAlign w:val="superscript"/>
                <w:lang w:val="el-GR"/>
              </w:rPr>
              <w:t>ος</w:t>
            </w:r>
            <w:r>
              <w:rPr>
                <w:b/>
                <w:sz w:val="18"/>
                <w:szCs w:val="18"/>
                <w:lang w:val="el-GR"/>
              </w:rPr>
              <w:t xml:space="preserve"> Πυλώνας</w:t>
            </w:r>
          </w:p>
          <w:p w:rsidR="00370C7A" w:rsidRPr="003E2E3E" w:rsidRDefault="003E2E3E" w:rsidP="0017132A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Επανεκκίνηση της οικονομίας των Κ.Μ. και υποστήριξη του ιδιωτικού τομέα</w:t>
            </w:r>
          </w:p>
        </w:tc>
        <w:tc>
          <w:tcPr>
            <w:tcW w:w="1667" w:type="pct"/>
          </w:tcPr>
          <w:p w:rsidR="00370C7A" w:rsidRPr="003E2E3E" w:rsidRDefault="003E2E3E" w:rsidP="0017132A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3</w:t>
            </w:r>
            <w:r w:rsidRPr="003E2E3E">
              <w:rPr>
                <w:b/>
                <w:sz w:val="18"/>
                <w:szCs w:val="18"/>
                <w:vertAlign w:val="superscript"/>
                <w:lang w:val="el-GR"/>
              </w:rPr>
              <w:t>ο</w:t>
            </w:r>
            <w:r>
              <w:rPr>
                <w:b/>
                <w:sz w:val="18"/>
                <w:szCs w:val="18"/>
                <w:lang w:val="el-GR"/>
              </w:rPr>
              <w:t>ς Πυλώνας</w:t>
            </w:r>
          </w:p>
          <w:p w:rsidR="00370C7A" w:rsidRPr="003E2E3E" w:rsidRDefault="003E2E3E" w:rsidP="0017132A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Κατανόηση και αφομοίωση των μαθημάτων που δίδαξε η κρίση</w:t>
            </w:r>
          </w:p>
        </w:tc>
      </w:tr>
      <w:tr w:rsidR="00370C7A" w:rsidRPr="00022663" w:rsidTr="00370C7A">
        <w:trPr>
          <w:trHeight w:val="722"/>
        </w:trPr>
        <w:tc>
          <w:tcPr>
            <w:tcW w:w="1666" w:type="pct"/>
            <w:vAlign w:val="center"/>
          </w:tcPr>
          <w:p w:rsidR="00370C7A" w:rsidRPr="003E2E3E" w:rsidRDefault="003E2E3E" w:rsidP="0017132A">
            <w:pPr>
              <w:jc w:val="center"/>
              <w:rPr>
                <w:i/>
                <w:sz w:val="18"/>
                <w:szCs w:val="18"/>
                <w:lang w:val="el-GR"/>
              </w:rPr>
            </w:pPr>
            <w:r>
              <w:rPr>
                <w:i/>
                <w:sz w:val="18"/>
                <w:szCs w:val="18"/>
                <w:lang w:val="el-GR"/>
              </w:rPr>
              <w:t>Μείγμα επιχορηγήσεων και δανείων</w:t>
            </w:r>
          </w:p>
          <w:p w:rsidR="00370C7A" w:rsidRPr="00370C7A" w:rsidRDefault="00370C7A" w:rsidP="0017132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66" w:type="pct"/>
            <w:vAlign w:val="center"/>
          </w:tcPr>
          <w:p w:rsidR="00370C7A" w:rsidRPr="003E2E3E" w:rsidRDefault="003E2E3E" w:rsidP="0017132A">
            <w:pPr>
              <w:jc w:val="center"/>
              <w:rPr>
                <w:i/>
                <w:sz w:val="18"/>
                <w:szCs w:val="18"/>
                <w:lang w:val="el-GR"/>
              </w:rPr>
            </w:pPr>
            <w:r w:rsidRPr="003E2E3E">
              <w:rPr>
                <w:i/>
                <w:sz w:val="18"/>
                <w:szCs w:val="18"/>
                <w:lang w:val="el-GR"/>
              </w:rPr>
              <w:t>Παροχή ταμείου εγγύησης για δάνεια και ίδια κεφάλαια</w:t>
            </w:r>
          </w:p>
        </w:tc>
        <w:tc>
          <w:tcPr>
            <w:tcW w:w="1667" w:type="pct"/>
            <w:vAlign w:val="center"/>
          </w:tcPr>
          <w:p w:rsidR="00370C7A" w:rsidRPr="003E2E3E" w:rsidRDefault="003E2E3E" w:rsidP="0017132A">
            <w:pPr>
              <w:jc w:val="center"/>
              <w:rPr>
                <w:i/>
                <w:sz w:val="18"/>
                <w:szCs w:val="18"/>
                <w:lang w:val="el-GR"/>
              </w:rPr>
            </w:pPr>
            <w:r w:rsidRPr="003E2E3E">
              <w:rPr>
                <w:i/>
                <w:sz w:val="18"/>
                <w:szCs w:val="18"/>
                <w:lang w:val="el-GR"/>
              </w:rPr>
              <w:t>Κυρίως επιχορηγήσεις (ορισμένα δάνεια προς τρίτες χώρες)</w:t>
            </w:r>
          </w:p>
        </w:tc>
      </w:tr>
      <w:tr w:rsidR="00370C7A" w:rsidRPr="00022663" w:rsidTr="00370C7A">
        <w:tc>
          <w:tcPr>
            <w:tcW w:w="1666" w:type="pct"/>
          </w:tcPr>
          <w:p w:rsidR="00370C7A" w:rsidRDefault="00370BC2" w:rsidP="0017132A">
            <w:pPr>
              <w:rPr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Νέοπρόγραμμααποκατάστασης και ανθεκτικότητας</w:t>
            </w:r>
            <w:r>
              <w:rPr>
                <w:sz w:val="18"/>
                <w:szCs w:val="18"/>
                <w:lang w:val="el-GR"/>
              </w:rPr>
              <w:t xml:space="preserve"> - </w:t>
            </w:r>
            <w:r>
              <w:rPr>
                <w:sz w:val="18"/>
                <w:szCs w:val="18"/>
                <w:lang w:val="en-US"/>
              </w:rPr>
              <w:t>RecoveryandResilienceFacility</w:t>
            </w:r>
            <w:r w:rsidR="00370C7A" w:rsidRPr="00370BC2">
              <w:rPr>
                <w:sz w:val="18"/>
                <w:szCs w:val="18"/>
                <w:lang w:val="el-GR"/>
              </w:rPr>
              <w:t>(</w:t>
            </w:r>
            <w:r w:rsidR="00370C7A" w:rsidRPr="00A33A19">
              <w:rPr>
                <w:sz w:val="18"/>
                <w:szCs w:val="18"/>
              </w:rPr>
              <w:t>BICC</w:t>
            </w:r>
            <w:r w:rsidR="00370C7A" w:rsidRPr="00370BC2">
              <w:rPr>
                <w:sz w:val="18"/>
                <w:szCs w:val="18"/>
                <w:lang w:val="el-GR"/>
              </w:rPr>
              <w:t>-</w:t>
            </w:r>
            <w:r w:rsidR="00370C7A" w:rsidRPr="00A33A19">
              <w:rPr>
                <w:sz w:val="18"/>
                <w:szCs w:val="18"/>
              </w:rPr>
              <w:t>RSPsuccessor</w:t>
            </w:r>
            <w:r w:rsidR="00370C7A" w:rsidRPr="00370BC2">
              <w:rPr>
                <w:sz w:val="18"/>
                <w:szCs w:val="18"/>
                <w:lang w:val="el-GR"/>
              </w:rPr>
              <w:t xml:space="preserve">): </w:t>
            </w:r>
            <w:r w:rsidRPr="00370BC2">
              <w:rPr>
                <w:sz w:val="18"/>
                <w:szCs w:val="18"/>
                <w:lang w:val="el-GR"/>
              </w:rPr>
              <w:t xml:space="preserve">310 </w:t>
            </w:r>
            <w:r w:rsidR="008A5BEE">
              <w:rPr>
                <w:sz w:val="18"/>
                <w:szCs w:val="18"/>
                <w:lang w:val="el-GR"/>
              </w:rPr>
              <w:t>δισ.</w:t>
            </w:r>
            <w:r w:rsidRPr="00370BC2">
              <w:rPr>
                <w:sz w:val="18"/>
                <w:szCs w:val="18"/>
                <w:lang w:val="el-GR"/>
              </w:rPr>
              <w:t xml:space="preserve"> επιχορηγήσεις + 250 </w:t>
            </w:r>
            <w:r w:rsidR="008A5BEE">
              <w:rPr>
                <w:sz w:val="18"/>
                <w:szCs w:val="18"/>
                <w:lang w:val="el-GR"/>
              </w:rPr>
              <w:t>δισ.</w:t>
            </w:r>
            <w:r w:rsidRPr="00370BC2">
              <w:rPr>
                <w:sz w:val="18"/>
                <w:szCs w:val="18"/>
                <w:lang w:val="el-GR"/>
              </w:rPr>
              <w:t xml:space="preserve"> δάνεια</w:t>
            </w:r>
          </w:p>
          <w:p w:rsidR="00370BC2" w:rsidRPr="00370BC2" w:rsidRDefault="00370BC2" w:rsidP="0017132A">
            <w:pPr>
              <w:rPr>
                <w:sz w:val="18"/>
                <w:szCs w:val="18"/>
                <w:lang w:val="el-GR"/>
              </w:rPr>
            </w:pPr>
          </w:p>
          <w:p w:rsidR="00370BC2" w:rsidRPr="00370BC2" w:rsidRDefault="00370BC2" w:rsidP="00370BC2">
            <w:pPr>
              <w:rPr>
                <w:sz w:val="18"/>
                <w:szCs w:val="18"/>
                <w:lang w:val="el-GR"/>
              </w:rPr>
            </w:pPr>
            <w:r w:rsidRPr="00370BC2">
              <w:rPr>
                <w:b/>
                <w:sz w:val="18"/>
                <w:szCs w:val="18"/>
                <w:lang w:val="el-GR"/>
              </w:rPr>
              <w:t xml:space="preserve">Συμπλήρωση συνοχής </w:t>
            </w:r>
            <w:r w:rsidRPr="00370BC2">
              <w:rPr>
                <w:sz w:val="18"/>
                <w:szCs w:val="18"/>
                <w:lang w:val="el-GR"/>
              </w:rPr>
              <w:t xml:space="preserve">(συμπεριλαμβανομένου του </w:t>
            </w:r>
            <w:r w:rsidRPr="00370BC2">
              <w:rPr>
                <w:sz w:val="18"/>
                <w:szCs w:val="18"/>
              </w:rPr>
              <w:t>FEAD</w:t>
            </w:r>
            <w:r w:rsidRPr="00370BC2">
              <w:rPr>
                <w:sz w:val="18"/>
                <w:szCs w:val="18"/>
                <w:lang w:val="el-GR"/>
              </w:rPr>
              <w:t>) το 2021-2022 με βάση τους εκτεταμένους ισχύοντες κανόνες («</w:t>
            </w:r>
            <w:r w:rsidRPr="00370BC2">
              <w:rPr>
                <w:sz w:val="18"/>
                <w:szCs w:val="18"/>
              </w:rPr>
              <w:t>REACT</w:t>
            </w:r>
            <w:r w:rsidRPr="00370BC2">
              <w:rPr>
                <w:sz w:val="18"/>
                <w:szCs w:val="18"/>
                <w:lang w:val="el-GR"/>
              </w:rPr>
              <w:t>-</w:t>
            </w:r>
            <w:r w:rsidRPr="00370BC2">
              <w:rPr>
                <w:sz w:val="18"/>
                <w:szCs w:val="18"/>
              </w:rPr>
              <w:t>EU</w:t>
            </w:r>
            <w:r w:rsidRPr="00370BC2">
              <w:rPr>
                <w:sz w:val="18"/>
                <w:szCs w:val="18"/>
                <w:lang w:val="el-GR"/>
              </w:rPr>
              <w:t>»): +50 δισ.</w:t>
            </w:r>
          </w:p>
          <w:p w:rsidR="00370C7A" w:rsidRPr="00370BC2" w:rsidRDefault="00370BC2" w:rsidP="00370BC2">
            <w:pPr>
              <w:rPr>
                <w:sz w:val="18"/>
                <w:szCs w:val="18"/>
                <w:lang w:val="el-GR"/>
              </w:rPr>
            </w:pPr>
            <w:r w:rsidRPr="00370BC2">
              <w:rPr>
                <w:sz w:val="18"/>
                <w:szCs w:val="18"/>
                <w:lang w:val="el-GR"/>
              </w:rPr>
              <w:t xml:space="preserve">(+5 δισ. </w:t>
            </w:r>
            <w:r>
              <w:rPr>
                <w:sz w:val="18"/>
                <w:szCs w:val="18"/>
                <w:lang w:val="el-GR"/>
              </w:rPr>
              <w:t>ήδη από</w:t>
            </w:r>
            <w:r w:rsidRPr="00370BC2">
              <w:rPr>
                <w:sz w:val="18"/>
                <w:szCs w:val="18"/>
                <w:lang w:val="el-GR"/>
              </w:rPr>
              <w:t xml:space="preserve"> το 2020)</w:t>
            </w:r>
          </w:p>
          <w:p w:rsidR="00370BC2" w:rsidRPr="00370BC2" w:rsidRDefault="00370BC2" w:rsidP="00370BC2">
            <w:pPr>
              <w:rPr>
                <w:sz w:val="18"/>
                <w:szCs w:val="18"/>
                <w:lang w:val="el-GR"/>
              </w:rPr>
            </w:pPr>
          </w:p>
          <w:p w:rsidR="00370C7A" w:rsidRPr="00370BC2" w:rsidRDefault="00370BC2" w:rsidP="0017132A">
            <w:pPr>
              <w:rPr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Συμπλήρωση περιφερειακής ανάπτυξης</w:t>
            </w:r>
            <w:r w:rsidR="00370C7A" w:rsidRPr="00370BC2">
              <w:rPr>
                <w:sz w:val="18"/>
                <w:szCs w:val="18"/>
                <w:lang w:val="el-GR"/>
              </w:rPr>
              <w:t xml:space="preserve">: +15 </w:t>
            </w:r>
            <w:r>
              <w:rPr>
                <w:sz w:val="18"/>
                <w:szCs w:val="18"/>
                <w:lang w:val="el-GR"/>
              </w:rPr>
              <w:t>δισ.</w:t>
            </w:r>
          </w:p>
          <w:p w:rsidR="00370C7A" w:rsidRPr="00370BC2" w:rsidRDefault="00370C7A" w:rsidP="0017132A">
            <w:pPr>
              <w:rPr>
                <w:sz w:val="18"/>
                <w:szCs w:val="18"/>
                <w:lang w:val="el-GR"/>
              </w:rPr>
            </w:pPr>
          </w:p>
          <w:p w:rsidR="00370C7A" w:rsidRPr="00370BC2" w:rsidRDefault="00370BC2" w:rsidP="0017132A">
            <w:pPr>
              <w:rPr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Συμπλήρωση Μηχανισμού Δίκαιης Μετάβασης</w:t>
            </w:r>
            <w:r w:rsidR="00370C7A" w:rsidRPr="00370BC2">
              <w:rPr>
                <w:sz w:val="18"/>
                <w:szCs w:val="18"/>
                <w:lang w:val="el-GR"/>
              </w:rPr>
              <w:t xml:space="preserve">: +30 </w:t>
            </w:r>
            <w:r w:rsidRPr="00370BC2">
              <w:rPr>
                <w:sz w:val="18"/>
                <w:szCs w:val="18"/>
                <w:lang w:val="el-GR"/>
              </w:rPr>
              <w:t>δισ.</w:t>
            </w:r>
          </w:p>
        </w:tc>
        <w:tc>
          <w:tcPr>
            <w:tcW w:w="1666" w:type="pct"/>
          </w:tcPr>
          <w:p w:rsidR="00370BC2" w:rsidRPr="00370BC2" w:rsidRDefault="00370BC2" w:rsidP="00370BC2">
            <w:pPr>
              <w:rPr>
                <w:sz w:val="18"/>
                <w:szCs w:val="18"/>
                <w:lang w:val="el-GR"/>
              </w:rPr>
            </w:pPr>
            <w:r w:rsidRPr="00370BC2">
              <w:rPr>
                <w:b/>
                <w:sz w:val="18"/>
                <w:szCs w:val="18"/>
                <w:lang w:val="el-GR"/>
              </w:rPr>
              <w:t xml:space="preserve">Νέο μέσο υποστήριξης φερεγγυότητας </w:t>
            </w:r>
            <w:r w:rsidRPr="00370BC2">
              <w:rPr>
                <w:sz w:val="18"/>
                <w:szCs w:val="18"/>
                <w:lang w:val="el-GR"/>
              </w:rPr>
              <w:t xml:space="preserve">(τρέχουσα αναθεώρηση </w:t>
            </w:r>
            <w:r w:rsidRPr="00370BC2">
              <w:rPr>
                <w:sz w:val="18"/>
                <w:szCs w:val="18"/>
              </w:rPr>
              <w:t>EFSI</w:t>
            </w:r>
            <w:r w:rsidRPr="00370BC2">
              <w:rPr>
                <w:sz w:val="18"/>
                <w:szCs w:val="18"/>
                <w:lang w:val="el-GR"/>
              </w:rPr>
              <w:t>): 26 δισ</w:t>
            </w:r>
          </w:p>
          <w:p w:rsidR="00370C7A" w:rsidRPr="008A5BEE" w:rsidRDefault="00370BC2" w:rsidP="00370BC2">
            <w:pPr>
              <w:rPr>
                <w:sz w:val="18"/>
                <w:szCs w:val="18"/>
                <w:lang w:val="el-GR"/>
              </w:rPr>
            </w:pPr>
            <w:r w:rsidRPr="00370BC2">
              <w:rPr>
                <w:sz w:val="18"/>
                <w:szCs w:val="18"/>
                <w:lang w:val="el-GR"/>
              </w:rPr>
              <w:t xml:space="preserve">(+5 δισ. Ήδη το 2020) (πολλαπλασιαστής: 75 </w:t>
            </w:r>
            <w:r w:rsidR="008A5BEE">
              <w:rPr>
                <w:sz w:val="18"/>
                <w:szCs w:val="18"/>
                <w:lang w:val="el-GR"/>
              </w:rPr>
              <w:t>δισ.</w:t>
            </w:r>
            <w:r w:rsidRPr="00370BC2">
              <w:rPr>
                <w:sz w:val="18"/>
                <w:szCs w:val="18"/>
                <w:lang w:val="el-GR"/>
              </w:rPr>
              <w:t xml:space="preserve"> εγγύηση ΕΤΕπ -&gt; 300 δισ. </w:t>
            </w:r>
            <w:r w:rsidRPr="008A5BEE">
              <w:rPr>
                <w:sz w:val="18"/>
                <w:szCs w:val="18"/>
                <w:lang w:val="el-GR"/>
              </w:rPr>
              <w:t>Υποστήριξη φερεγγυότητας)</w:t>
            </w:r>
          </w:p>
          <w:p w:rsidR="00370BC2" w:rsidRPr="008A5BEE" w:rsidRDefault="00370BC2" w:rsidP="0017132A">
            <w:pPr>
              <w:rPr>
                <w:b/>
                <w:sz w:val="18"/>
                <w:szCs w:val="18"/>
                <w:lang w:val="el-GR"/>
              </w:rPr>
            </w:pPr>
          </w:p>
          <w:p w:rsidR="00370BC2" w:rsidRPr="00022663" w:rsidRDefault="00370BC2" w:rsidP="0017132A">
            <w:pPr>
              <w:rPr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Νέο πρόγραμμα στρατηγικών επενδύσεων</w:t>
            </w:r>
            <w:r w:rsidRPr="008533E9">
              <w:rPr>
                <w:sz w:val="18"/>
                <w:szCs w:val="18"/>
                <w:lang w:val="el-GR"/>
              </w:rPr>
              <w:t xml:space="preserve">(5ο παράθυρο </w:t>
            </w:r>
            <w:r w:rsidRPr="008533E9">
              <w:rPr>
                <w:sz w:val="18"/>
                <w:szCs w:val="18"/>
              </w:rPr>
              <w:t>InvestEU</w:t>
            </w:r>
            <w:r w:rsidRPr="008533E9">
              <w:rPr>
                <w:sz w:val="18"/>
                <w:szCs w:val="18"/>
                <w:lang w:val="el-GR"/>
              </w:rPr>
              <w:t xml:space="preserve">): 15 δισ. </w:t>
            </w:r>
            <w:r w:rsidRPr="00022663">
              <w:rPr>
                <w:sz w:val="18"/>
                <w:szCs w:val="18"/>
                <w:lang w:val="el-GR"/>
              </w:rPr>
              <w:t>(Πολλαπλασιαστής: 31,5 δισ. Εγγύηση προϋπολογισμού -&gt; 150 δισ. Επενδύσεις)</w:t>
            </w:r>
          </w:p>
          <w:p w:rsidR="00370BC2" w:rsidRPr="00022663" w:rsidRDefault="00370BC2" w:rsidP="0017132A">
            <w:pPr>
              <w:rPr>
                <w:b/>
                <w:sz w:val="18"/>
                <w:szCs w:val="18"/>
                <w:lang w:val="el-GR"/>
              </w:rPr>
            </w:pPr>
          </w:p>
          <w:p w:rsidR="00370BC2" w:rsidRPr="00370BC2" w:rsidRDefault="00370BC2" w:rsidP="00370BC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l-GR"/>
              </w:rPr>
              <w:t>Συμπλήρωση</w:t>
            </w:r>
            <w:r w:rsidRPr="00370BC2">
              <w:rPr>
                <w:b/>
                <w:sz w:val="18"/>
                <w:szCs w:val="18"/>
                <w:lang w:val="el-GR"/>
              </w:rPr>
              <w:t xml:space="preserve"> Ι</w:t>
            </w:r>
            <w:r w:rsidR="00370C7A" w:rsidRPr="00370C7A">
              <w:rPr>
                <w:b/>
                <w:sz w:val="18"/>
                <w:szCs w:val="18"/>
              </w:rPr>
              <w:t>nvestEU</w:t>
            </w:r>
            <w:r w:rsidRPr="00370BC2">
              <w:rPr>
                <w:sz w:val="18"/>
                <w:szCs w:val="18"/>
                <w:lang w:val="el-GR"/>
              </w:rPr>
              <w:t xml:space="preserve">(4 υπάρχοντα παράθυρα), τώρα σχεδόν πλήρως χρηματοδοτούμενα βάσει </w:t>
            </w:r>
            <w:r w:rsidRPr="00370BC2">
              <w:rPr>
                <w:sz w:val="18"/>
                <w:szCs w:val="18"/>
              </w:rPr>
              <w:t>ERI</w:t>
            </w:r>
            <w:r w:rsidRPr="00370BC2">
              <w:rPr>
                <w:sz w:val="18"/>
                <w:szCs w:val="18"/>
                <w:lang w:val="el-GR"/>
              </w:rPr>
              <w:t xml:space="preserve">: συνολικά 15,3 δισ. </w:t>
            </w:r>
            <w:r w:rsidRPr="00370BC2">
              <w:rPr>
                <w:sz w:val="18"/>
                <w:szCs w:val="18"/>
              </w:rPr>
              <w:t>(+2,2 δισ. Έναντι Μαΐου 2018)</w:t>
            </w:r>
          </w:p>
          <w:p w:rsidR="00370C7A" w:rsidRPr="00370C7A" w:rsidRDefault="00370BC2" w:rsidP="00370BC2">
            <w:pPr>
              <w:rPr>
                <w:i/>
                <w:sz w:val="18"/>
                <w:szCs w:val="18"/>
              </w:rPr>
            </w:pPr>
            <w:r w:rsidRPr="00370BC2">
              <w:rPr>
                <w:sz w:val="18"/>
                <w:szCs w:val="18"/>
              </w:rPr>
              <w:t>(πολλαπλασιαστής -&gt; 240 δισ.)</w:t>
            </w:r>
          </w:p>
        </w:tc>
        <w:tc>
          <w:tcPr>
            <w:tcW w:w="1667" w:type="pct"/>
          </w:tcPr>
          <w:p w:rsidR="005B4E7D" w:rsidRPr="005B4E7D" w:rsidRDefault="005B4E7D" w:rsidP="005B4E7D">
            <w:pPr>
              <w:rPr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ΝέοσυμπληρωμένοπρόγραμμαΥγείας</w:t>
            </w:r>
            <w:r w:rsidR="00370C7A" w:rsidRPr="005B4E7D">
              <w:rPr>
                <w:b/>
                <w:sz w:val="18"/>
                <w:szCs w:val="18"/>
                <w:lang w:val="el-GR"/>
              </w:rPr>
              <w:t>:</w:t>
            </w:r>
            <w:r w:rsidRPr="005B4E7D">
              <w:rPr>
                <w:sz w:val="18"/>
                <w:szCs w:val="18"/>
                <w:lang w:val="el-GR"/>
              </w:rPr>
              <w:t xml:space="preserve">7,7 δισ. Καλύπτονται από </w:t>
            </w:r>
            <w:r w:rsidRPr="005B4E7D">
              <w:rPr>
                <w:sz w:val="18"/>
                <w:szCs w:val="18"/>
              </w:rPr>
              <w:t>ERI</w:t>
            </w:r>
            <w:r w:rsidRPr="005B4E7D">
              <w:rPr>
                <w:sz w:val="18"/>
                <w:szCs w:val="18"/>
                <w:lang w:val="el-GR"/>
              </w:rPr>
              <w:t xml:space="preserve"> από συνολικά 9,4 δισ</w:t>
            </w:r>
          </w:p>
          <w:p w:rsidR="00370C7A" w:rsidRDefault="008533E9" w:rsidP="005B4E7D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(9 δισ. π</w:t>
            </w:r>
            <w:r w:rsidR="005B4E7D" w:rsidRPr="005B4E7D">
              <w:rPr>
                <w:sz w:val="18"/>
                <w:szCs w:val="18"/>
                <w:lang w:val="el-GR"/>
              </w:rPr>
              <w:t xml:space="preserve">άνω από </w:t>
            </w:r>
            <w:r>
              <w:rPr>
                <w:sz w:val="18"/>
                <w:szCs w:val="18"/>
                <w:lang w:val="el-GR"/>
              </w:rPr>
              <w:t xml:space="preserve">την πρόταση της Κομισιόν του </w:t>
            </w:r>
            <w:r w:rsidRPr="008533E9">
              <w:rPr>
                <w:sz w:val="18"/>
                <w:szCs w:val="18"/>
                <w:lang w:val="el-GR"/>
              </w:rPr>
              <w:t>Μαΐου</w:t>
            </w:r>
            <w:r w:rsidR="005B4E7D" w:rsidRPr="005B4E7D">
              <w:rPr>
                <w:sz w:val="18"/>
                <w:szCs w:val="18"/>
                <w:lang w:val="el-GR"/>
              </w:rPr>
              <w:t xml:space="preserve"> του 2018)</w:t>
            </w:r>
          </w:p>
          <w:p w:rsidR="005B4E7D" w:rsidRPr="005B4E7D" w:rsidRDefault="005B4E7D" w:rsidP="005B4E7D">
            <w:pPr>
              <w:rPr>
                <w:sz w:val="18"/>
                <w:szCs w:val="18"/>
                <w:lang w:val="el-GR"/>
              </w:rPr>
            </w:pPr>
          </w:p>
          <w:p w:rsidR="00370C7A" w:rsidRPr="005B4E7D" w:rsidRDefault="005B4E7D" w:rsidP="0017132A">
            <w:pPr>
              <w:rPr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Συμπλήρωση</w:t>
            </w:r>
            <w:r w:rsidR="00370C7A" w:rsidRPr="00370C7A">
              <w:rPr>
                <w:b/>
                <w:sz w:val="18"/>
                <w:szCs w:val="18"/>
              </w:rPr>
              <w:t>RescEU</w:t>
            </w:r>
            <w:r w:rsidR="008533E9">
              <w:rPr>
                <w:sz w:val="18"/>
                <w:szCs w:val="18"/>
                <w:lang w:val="el-GR"/>
              </w:rPr>
              <w:t>(πάνω από την πρόταση</w:t>
            </w:r>
            <w:r w:rsidR="008533E9" w:rsidRPr="008533E9">
              <w:rPr>
                <w:sz w:val="18"/>
                <w:szCs w:val="18"/>
              </w:rPr>
              <w:t>Michel</w:t>
            </w:r>
            <w:r w:rsidR="008533E9" w:rsidRPr="008533E9">
              <w:rPr>
                <w:sz w:val="18"/>
                <w:szCs w:val="18"/>
                <w:lang w:val="el-GR"/>
              </w:rPr>
              <w:t>):</w:t>
            </w:r>
            <w:r w:rsidR="00370C7A" w:rsidRPr="005B4E7D">
              <w:rPr>
                <w:sz w:val="18"/>
                <w:szCs w:val="18"/>
                <w:lang w:val="el-GR"/>
              </w:rPr>
              <w:t xml:space="preserve">: +2 </w:t>
            </w:r>
            <w:r>
              <w:rPr>
                <w:sz w:val="18"/>
                <w:szCs w:val="18"/>
                <w:lang w:val="el-GR"/>
              </w:rPr>
              <w:t>δισ.</w:t>
            </w:r>
          </w:p>
          <w:p w:rsidR="00370C7A" w:rsidRPr="00022663" w:rsidRDefault="005B4E7D" w:rsidP="0017132A">
            <w:pPr>
              <w:rPr>
                <w:sz w:val="18"/>
                <w:szCs w:val="18"/>
                <w:lang w:val="el-GR"/>
              </w:rPr>
            </w:pPr>
            <w:r w:rsidRPr="00022663">
              <w:rPr>
                <w:sz w:val="18"/>
                <w:szCs w:val="18"/>
                <w:lang w:val="el-GR"/>
              </w:rPr>
              <w:t>(σύνολο: 3,1 δισ.)</w:t>
            </w:r>
          </w:p>
          <w:p w:rsidR="005B4E7D" w:rsidRPr="00022663" w:rsidRDefault="005B4E7D" w:rsidP="0017132A">
            <w:pPr>
              <w:rPr>
                <w:sz w:val="18"/>
                <w:szCs w:val="18"/>
                <w:lang w:val="el-GR"/>
              </w:rPr>
            </w:pPr>
          </w:p>
          <w:p w:rsidR="005B4E7D" w:rsidRPr="005B4E7D" w:rsidRDefault="005B4E7D" w:rsidP="005B4E7D">
            <w:pPr>
              <w:rPr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Συμπλήρωση</w:t>
            </w:r>
            <w:r w:rsidR="00370C7A" w:rsidRPr="00370C7A">
              <w:rPr>
                <w:b/>
                <w:sz w:val="18"/>
                <w:szCs w:val="18"/>
              </w:rPr>
              <w:t>HorizonEurope</w:t>
            </w:r>
            <w:r w:rsidR="008533E9" w:rsidRPr="008533E9">
              <w:rPr>
                <w:sz w:val="18"/>
                <w:szCs w:val="18"/>
                <w:lang w:val="el-GR"/>
              </w:rPr>
              <w:t xml:space="preserve">(πάνω από την πρόταση </w:t>
            </w:r>
            <w:r w:rsidR="008533E9" w:rsidRPr="008533E9">
              <w:rPr>
                <w:sz w:val="18"/>
                <w:szCs w:val="18"/>
                <w:lang w:val="en-US"/>
              </w:rPr>
              <w:t>Michel</w:t>
            </w:r>
            <w:r w:rsidR="008533E9" w:rsidRPr="008533E9">
              <w:rPr>
                <w:sz w:val="18"/>
                <w:szCs w:val="18"/>
                <w:lang w:val="el-GR"/>
              </w:rPr>
              <w:t>):</w:t>
            </w:r>
            <w:r w:rsidRPr="005B4E7D">
              <w:rPr>
                <w:sz w:val="18"/>
                <w:szCs w:val="18"/>
                <w:lang w:val="el-GR"/>
              </w:rPr>
              <w:t>: +13,5 δισ</w:t>
            </w:r>
          </w:p>
          <w:p w:rsidR="00370C7A" w:rsidRPr="00022663" w:rsidRDefault="005B4E7D" w:rsidP="005B4E7D">
            <w:pPr>
              <w:rPr>
                <w:sz w:val="18"/>
                <w:szCs w:val="18"/>
                <w:lang w:val="el-GR"/>
              </w:rPr>
            </w:pPr>
            <w:r w:rsidRPr="00022663">
              <w:rPr>
                <w:sz w:val="18"/>
                <w:szCs w:val="18"/>
                <w:lang w:val="el-GR"/>
              </w:rPr>
              <w:t>(σύνολο: 94,4 δισ.)</w:t>
            </w:r>
          </w:p>
          <w:p w:rsidR="005B4E7D" w:rsidRPr="00022663" w:rsidRDefault="005B4E7D" w:rsidP="005B4E7D">
            <w:pPr>
              <w:rPr>
                <w:sz w:val="18"/>
                <w:szCs w:val="18"/>
                <w:lang w:val="el-GR"/>
              </w:rPr>
            </w:pPr>
          </w:p>
          <w:p w:rsidR="008533E9" w:rsidRPr="008533E9" w:rsidRDefault="008533E9" w:rsidP="008533E9">
            <w:pPr>
              <w:rPr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Συμπλήρωση γειτνίασης</w:t>
            </w:r>
            <w:r w:rsidRPr="008533E9">
              <w:rPr>
                <w:b/>
                <w:sz w:val="18"/>
                <w:szCs w:val="18"/>
                <w:lang w:val="el-GR"/>
              </w:rPr>
              <w:t xml:space="preserve"> και ανάπτυξης (</w:t>
            </w:r>
            <w:r w:rsidRPr="008533E9">
              <w:rPr>
                <w:b/>
                <w:sz w:val="18"/>
                <w:szCs w:val="18"/>
              </w:rPr>
              <w:t>NDICI</w:t>
            </w:r>
            <w:r>
              <w:rPr>
                <w:sz w:val="18"/>
                <w:szCs w:val="18"/>
                <w:lang w:val="el-GR"/>
              </w:rPr>
              <w:t>) (πάνω από την πρόταση</w:t>
            </w:r>
            <w:r w:rsidRPr="008533E9">
              <w:rPr>
                <w:sz w:val="18"/>
                <w:szCs w:val="18"/>
              </w:rPr>
              <w:t>Michel</w:t>
            </w:r>
            <w:r w:rsidRPr="008533E9">
              <w:rPr>
                <w:sz w:val="18"/>
                <w:szCs w:val="18"/>
                <w:lang w:val="el-GR"/>
              </w:rPr>
              <w:t>): +10,5 δισ</w:t>
            </w:r>
          </w:p>
          <w:p w:rsidR="008533E9" w:rsidRPr="00022663" w:rsidRDefault="008533E9" w:rsidP="008533E9">
            <w:pPr>
              <w:rPr>
                <w:sz w:val="18"/>
                <w:szCs w:val="18"/>
                <w:lang w:val="el-GR"/>
              </w:rPr>
            </w:pPr>
            <w:r w:rsidRPr="00022663">
              <w:rPr>
                <w:sz w:val="18"/>
                <w:szCs w:val="18"/>
                <w:lang w:val="el-GR"/>
              </w:rPr>
              <w:t>(σύνολο: 86 δισ.)</w:t>
            </w:r>
          </w:p>
          <w:p w:rsidR="00370C7A" w:rsidRPr="00022663" w:rsidRDefault="008533E9" w:rsidP="008533E9">
            <w:pPr>
              <w:rPr>
                <w:sz w:val="18"/>
                <w:szCs w:val="18"/>
                <w:lang w:val="el-GR"/>
              </w:rPr>
            </w:pPr>
            <w:r w:rsidRPr="00022663">
              <w:rPr>
                <w:sz w:val="18"/>
                <w:szCs w:val="18"/>
                <w:lang w:val="el-GR"/>
              </w:rPr>
              <w:t>(+1 δισ. Ήδητο 2020)</w:t>
            </w:r>
          </w:p>
          <w:p w:rsidR="008533E9" w:rsidRPr="00022663" w:rsidRDefault="008533E9" w:rsidP="008533E9">
            <w:pPr>
              <w:rPr>
                <w:sz w:val="18"/>
                <w:szCs w:val="18"/>
                <w:lang w:val="el-GR"/>
              </w:rPr>
            </w:pPr>
          </w:p>
          <w:p w:rsidR="00370C7A" w:rsidRPr="008533E9" w:rsidRDefault="008533E9" w:rsidP="0017132A">
            <w:pPr>
              <w:rPr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Συμπλήρωση Ανθρωπιστική Βοήθειας</w:t>
            </w:r>
            <w:r w:rsidR="00370C7A" w:rsidRPr="00022663">
              <w:rPr>
                <w:b/>
                <w:sz w:val="18"/>
                <w:szCs w:val="18"/>
                <w:lang w:val="el-GR"/>
              </w:rPr>
              <w:t>:</w:t>
            </w:r>
            <w:r w:rsidR="00370C7A" w:rsidRPr="00022663">
              <w:rPr>
                <w:sz w:val="18"/>
                <w:szCs w:val="18"/>
                <w:lang w:val="el-GR"/>
              </w:rPr>
              <w:t xml:space="preserve"> +5 </w:t>
            </w:r>
            <w:r>
              <w:rPr>
                <w:sz w:val="18"/>
                <w:szCs w:val="18"/>
                <w:lang w:val="el-GR"/>
              </w:rPr>
              <w:t>δισ.</w:t>
            </w:r>
          </w:p>
          <w:p w:rsidR="00370C7A" w:rsidRPr="00022663" w:rsidRDefault="00370C7A" w:rsidP="0017132A">
            <w:pPr>
              <w:rPr>
                <w:sz w:val="18"/>
                <w:szCs w:val="18"/>
                <w:lang w:val="el-GR"/>
              </w:rPr>
            </w:pPr>
          </w:p>
        </w:tc>
      </w:tr>
    </w:tbl>
    <w:p w:rsidR="00143D5E" w:rsidRPr="00022663" w:rsidRDefault="00143D5E" w:rsidP="00CB14E2">
      <w:pPr>
        <w:jc w:val="both"/>
        <w:rPr>
          <w:rFonts w:eastAsiaTheme="minorEastAsia"/>
          <w:color w:val="C00000"/>
          <w:spacing w:val="15"/>
          <w:lang w:val="el-GR"/>
        </w:rPr>
      </w:pPr>
    </w:p>
    <w:sectPr w:rsidR="00143D5E" w:rsidRPr="00022663" w:rsidSect="00370C7A">
      <w:footerReference w:type="default" r:id="rId8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9A9" w:rsidRDefault="00A849A9" w:rsidP="006D765B">
      <w:pPr>
        <w:spacing w:after="0" w:line="240" w:lineRule="auto"/>
      </w:pPr>
      <w:r>
        <w:separator/>
      </w:r>
    </w:p>
  </w:endnote>
  <w:endnote w:type="continuationSeparator" w:id="1">
    <w:p w:rsidR="00A849A9" w:rsidRDefault="00A849A9" w:rsidP="006D7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731899"/>
      <w:docPartObj>
        <w:docPartGallery w:val="Page Numbers (Bottom of Page)"/>
        <w:docPartUnique/>
      </w:docPartObj>
    </w:sdtPr>
    <w:sdtContent>
      <w:p w:rsidR="0017132A" w:rsidRDefault="00FA76EE">
        <w:pPr>
          <w:pStyle w:val="Footer"/>
          <w:jc w:val="right"/>
        </w:pPr>
        <w:r w:rsidRPr="006D765B">
          <w:rPr>
            <w:rFonts w:asciiTheme="majorHAnsi" w:hAnsiTheme="majorHAnsi"/>
            <w:sz w:val="20"/>
          </w:rPr>
          <w:fldChar w:fldCharType="begin"/>
        </w:r>
        <w:r w:rsidR="0017132A" w:rsidRPr="006D765B">
          <w:rPr>
            <w:rFonts w:asciiTheme="majorHAnsi" w:hAnsiTheme="majorHAnsi"/>
            <w:sz w:val="20"/>
          </w:rPr>
          <w:instrText>PAGE   \* MERGEFORMAT</w:instrText>
        </w:r>
        <w:r w:rsidRPr="006D765B">
          <w:rPr>
            <w:rFonts w:asciiTheme="majorHAnsi" w:hAnsiTheme="majorHAnsi"/>
            <w:sz w:val="20"/>
          </w:rPr>
          <w:fldChar w:fldCharType="separate"/>
        </w:r>
        <w:r w:rsidR="00011FBF" w:rsidRPr="00011FBF">
          <w:rPr>
            <w:rFonts w:asciiTheme="majorHAnsi" w:hAnsiTheme="majorHAnsi"/>
            <w:noProof/>
            <w:sz w:val="20"/>
            <w:lang w:val="el-GR"/>
          </w:rPr>
          <w:t>1</w:t>
        </w:r>
        <w:r w:rsidRPr="006D765B">
          <w:rPr>
            <w:rFonts w:asciiTheme="majorHAnsi" w:hAnsiTheme="majorHAnsi"/>
            <w:sz w:val="20"/>
          </w:rPr>
          <w:fldChar w:fldCharType="end"/>
        </w:r>
      </w:p>
    </w:sdtContent>
  </w:sdt>
  <w:p w:rsidR="0017132A" w:rsidRDefault="001713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9A9" w:rsidRDefault="00A849A9" w:rsidP="006D765B">
      <w:pPr>
        <w:spacing w:after="0" w:line="240" w:lineRule="auto"/>
      </w:pPr>
      <w:r>
        <w:separator/>
      </w:r>
    </w:p>
  </w:footnote>
  <w:footnote w:type="continuationSeparator" w:id="1">
    <w:p w:rsidR="00A849A9" w:rsidRDefault="00A849A9" w:rsidP="006D7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56AD"/>
    <w:multiLevelType w:val="hybridMultilevel"/>
    <w:tmpl w:val="0556EFFE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E208F"/>
    <w:multiLevelType w:val="hybridMultilevel"/>
    <w:tmpl w:val="9B3486AE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10049B"/>
    <w:multiLevelType w:val="hybridMultilevel"/>
    <w:tmpl w:val="AA3EBBA2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68158C"/>
    <w:multiLevelType w:val="hybridMultilevel"/>
    <w:tmpl w:val="A55A1B24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917DAC"/>
    <w:multiLevelType w:val="hybridMultilevel"/>
    <w:tmpl w:val="1534F2CA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1D40CB"/>
    <w:multiLevelType w:val="hybridMultilevel"/>
    <w:tmpl w:val="FB905AEC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FB69F9"/>
    <w:multiLevelType w:val="hybridMultilevel"/>
    <w:tmpl w:val="7214C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EF5552"/>
    <w:multiLevelType w:val="hybridMultilevel"/>
    <w:tmpl w:val="FFD8BBAE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A905EF3"/>
    <w:multiLevelType w:val="hybridMultilevel"/>
    <w:tmpl w:val="9796D18A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6641D5"/>
    <w:multiLevelType w:val="hybridMultilevel"/>
    <w:tmpl w:val="B86A54E8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64192A"/>
    <w:multiLevelType w:val="hybridMultilevel"/>
    <w:tmpl w:val="42006C98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1E3"/>
    <w:rsid w:val="00011FBF"/>
    <w:rsid w:val="00022663"/>
    <w:rsid w:val="00035BE9"/>
    <w:rsid w:val="000421E3"/>
    <w:rsid w:val="000F062B"/>
    <w:rsid w:val="00143D5E"/>
    <w:rsid w:val="0017132A"/>
    <w:rsid w:val="001B23AF"/>
    <w:rsid w:val="0023546B"/>
    <w:rsid w:val="00236224"/>
    <w:rsid w:val="0027161A"/>
    <w:rsid w:val="002A490E"/>
    <w:rsid w:val="002C03B8"/>
    <w:rsid w:val="002C07F7"/>
    <w:rsid w:val="002E24F9"/>
    <w:rsid w:val="003115AA"/>
    <w:rsid w:val="00327A32"/>
    <w:rsid w:val="00370BC2"/>
    <w:rsid w:val="00370C7A"/>
    <w:rsid w:val="003D0E84"/>
    <w:rsid w:val="003E2E3E"/>
    <w:rsid w:val="00405A91"/>
    <w:rsid w:val="00425404"/>
    <w:rsid w:val="00463221"/>
    <w:rsid w:val="00467C36"/>
    <w:rsid w:val="004759B4"/>
    <w:rsid w:val="005051CE"/>
    <w:rsid w:val="005247EA"/>
    <w:rsid w:val="00554C65"/>
    <w:rsid w:val="00565D98"/>
    <w:rsid w:val="005B4E7D"/>
    <w:rsid w:val="0060134D"/>
    <w:rsid w:val="006248F6"/>
    <w:rsid w:val="006256BB"/>
    <w:rsid w:val="00651D79"/>
    <w:rsid w:val="006C5969"/>
    <w:rsid w:val="006C611F"/>
    <w:rsid w:val="006D765B"/>
    <w:rsid w:val="00770672"/>
    <w:rsid w:val="007753E2"/>
    <w:rsid w:val="0077732F"/>
    <w:rsid w:val="007929FB"/>
    <w:rsid w:val="00804B71"/>
    <w:rsid w:val="00824A29"/>
    <w:rsid w:val="008533E9"/>
    <w:rsid w:val="008A5BEE"/>
    <w:rsid w:val="00956183"/>
    <w:rsid w:val="00975198"/>
    <w:rsid w:val="00977DCA"/>
    <w:rsid w:val="00990AD9"/>
    <w:rsid w:val="009C6C06"/>
    <w:rsid w:val="00A15D1C"/>
    <w:rsid w:val="00A33A19"/>
    <w:rsid w:val="00A849A9"/>
    <w:rsid w:val="00B00115"/>
    <w:rsid w:val="00BC0A05"/>
    <w:rsid w:val="00C30265"/>
    <w:rsid w:val="00CB14E2"/>
    <w:rsid w:val="00CE34DB"/>
    <w:rsid w:val="00D40B79"/>
    <w:rsid w:val="00DB64C6"/>
    <w:rsid w:val="00E5588A"/>
    <w:rsid w:val="00E671F9"/>
    <w:rsid w:val="00E97A82"/>
    <w:rsid w:val="00F928CF"/>
    <w:rsid w:val="00FA7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EE"/>
  </w:style>
  <w:style w:type="paragraph" w:styleId="Heading1">
    <w:name w:val="heading 1"/>
    <w:basedOn w:val="Normal"/>
    <w:next w:val="Normal"/>
    <w:link w:val="Heading1Char"/>
    <w:uiPriority w:val="9"/>
    <w:qFormat/>
    <w:rsid w:val="007753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1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53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3E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753E2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753E2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370C7A"/>
    <w:pPr>
      <w:spacing w:after="0" w:line="240" w:lineRule="auto"/>
    </w:pPr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D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76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65B"/>
  </w:style>
  <w:style w:type="paragraph" w:styleId="Footer">
    <w:name w:val="footer"/>
    <w:basedOn w:val="Normal"/>
    <w:link w:val="FooterChar"/>
    <w:uiPriority w:val="99"/>
    <w:unhideWhenUsed/>
    <w:rsid w:val="006D76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65B"/>
  </w:style>
  <w:style w:type="paragraph" w:styleId="Caption">
    <w:name w:val="caption"/>
    <w:basedOn w:val="Normal"/>
    <w:next w:val="Normal"/>
    <w:uiPriority w:val="35"/>
    <w:unhideWhenUsed/>
    <w:qFormat/>
    <w:rsid w:val="004759B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68377-CD6B-45B1-BFE8-D15D51B5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 Cheilakou</dc:creator>
  <cp:lastModifiedBy>mic</cp:lastModifiedBy>
  <cp:revision>3</cp:revision>
  <dcterms:created xsi:type="dcterms:W3CDTF">2020-06-03T16:29:00Z</dcterms:created>
  <dcterms:modified xsi:type="dcterms:W3CDTF">2020-06-03T16:38:00Z</dcterms:modified>
</cp:coreProperties>
</file>