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40B" w:rsidRDefault="0091440B" w:rsidP="0091440B">
      <w:pPr>
        <w:ind w:left="720"/>
        <w:jc w:val="left"/>
        <w:rPr>
          <w:rFonts w:ascii="Calibri" w:eastAsia="Times New Roman" w:hAnsi="Calibri" w:cs="Calibri"/>
        </w:rPr>
      </w:pPr>
      <w:bookmarkStart w:id="0" w:name="_MailOriginal"/>
      <w:r>
        <w:rPr>
          <w:rFonts w:eastAsia="Times New Roman"/>
          <w:b/>
          <w:bCs/>
        </w:rPr>
        <w:t>From:</w:t>
      </w:r>
      <w:r>
        <w:rPr>
          <w:rFonts w:eastAsia="Times New Roman"/>
        </w:rPr>
        <w:t xml:space="preserve"> PAPADIMOULIS Dimitrios </w:t>
      </w:r>
      <w:r>
        <w:rPr>
          <w:rFonts w:eastAsia="Times New Roman"/>
        </w:rPr>
        <w:br/>
      </w:r>
      <w:r>
        <w:rPr>
          <w:rFonts w:eastAsia="Times New Roman"/>
          <w:b/>
          <w:bCs/>
        </w:rPr>
        <w:t>Sent:</w:t>
      </w:r>
      <w:r>
        <w:rPr>
          <w:rFonts w:eastAsia="Times New Roman"/>
        </w:rPr>
        <w:t xml:space="preserve"> 19 February 2020 18:54</w:t>
      </w:r>
      <w:r>
        <w:rPr>
          <w:rFonts w:eastAsia="Times New Roman"/>
        </w:rPr>
        <w:br/>
      </w:r>
      <w:r>
        <w:rPr>
          <w:rFonts w:eastAsia="Times New Roman"/>
          <w:b/>
          <w:bCs/>
        </w:rPr>
        <w:t>To:</w:t>
      </w:r>
      <w:r>
        <w:rPr>
          <w:rFonts w:eastAsia="Times New Roman"/>
        </w:rPr>
        <w:t xml:space="preserve"> REYNDERS Didier (EC) &lt;Didier.REYNDERS@ec.europa.eu&gt;</w:t>
      </w:r>
      <w:r>
        <w:rPr>
          <w:rFonts w:eastAsia="Times New Roman"/>
        </w:rPr>
        <w:br/>
      </w:r>
      <w:r>
        <w:rPr>
          <w:rFonts w:eastAsia="Times New Roman"/>
          <w:b/>
          <w:bCs/>
        </w:rPr>
        <w:t>Cc:</w:t>
      </w:r>
      <w:r>
        <w:rPr>
          <w:rFonts w:eastAsia="Times New Roman"/>
        </w:rPr>
        <w:t xml:space="preserve"> CAB REYNDERS CONTACT (EC) &lt;CAB-REYNDERS-</w:t>
      </w:r>
      <w:r>
        <w:rPr>
          <w:rFonts w:eastAsia="Times New Roman"/>
        </w:rPr>
        <w:br/>
      </w:r>
      <w:r>
        <w:rPr>
          <w:rFonts w:eastAsia="Times New Roman"/>
          <w:b/>
          <w:bCs/>
        </w:rPr>
        <w:t>Subject:</w:t>
      </w:r>
      <w:r>
        <w:rPr>
          <w:rFonts w:eastAsia="Times New Roman"/>
        </w:rPr>
        <w:t>Urgent // Violation of EU law on public interest witnesses</w:t>
      </w:r>
      <w:r>
        <w:rPr>
          <w:rFonts w:eastAsia="Times New Roman"/>
        </w:rPr>
        <w:br/>
      </w:r>
      <w:r>
        <w:rPr>
          <w:rFonts w:eastAsia="Times New Roman"/>
          <w:b/>
          <w:bCs/>
        </w:rPr>
        <w:t>Importance:</w:t>
      </w:r>
      <w:r>
        <w:rPr>
          <w:rFonts w:eastAsia="Times New Roman"/>
        </w:rPr>
        <w:t xml:space="preserve"> High</w:t>
      </w:r>
    </w:p>
    <w:p w:rsidR="0091440B" w:rsidRDefault="0091440B" w:rsidP="0091440B">
      <w:pPr>
        <w:ind w:left="720"/>
        <w:jc w:val="left"/>
      </w:pPr>
    </w:p>
    <w:p w:rsidR="0091440B" w:rsidRPr="0091440B" w:rsidRDefault="0091440B" w:rsidP="0091440B">
      <w:pPr>
        <w:ind w:left="720"/>
        <w:jc w:val="left"/>
        <w:rPr>
          <w:color w:val="1F4E79"/>
          <w:sz w:val="28"/>
          <w:szCs w:val="28"/>
        </w:rPr>
      </w:pPr>
      <w:r w:rsidRPr="0091440B">
        <w:rPr>
          <w:color w:val="1F4E79"/>
          <w:sz w:val="28"/>
          <w:szCs w:val="28"/>
        </w:rPr>
        <w:t>Dear Mr.Reynders,</w:t>
      </w:r>
    </w:p>
    <w:p w:rsidR="0091440B" w:rsidRPr="0091440B" w:rsidRDefault="0091440B" w:rsidP="0091440B">
      <w:pPr>
        <w:ind w:left="720"/>
        <w:jc w:val="left"/>
        <w:rPr>
          <w:color w:val="1F4E79"/>
          <w:sz w:val="28"/>
          <w:szCs w:val="28"/>
        </w:rPr>
      </w:pPr>
    </w:p>
    <w:p w:rsidR="0091440B" w:rsidRPr="0091440B" w:rsidRDefault="0091440B" w:rsidP="0091440B">
      <w:pPr>
        <w:ind w:left="720"/>
        <w:jc w:val="left"/>
        <w:rPr>
          <w:color w:val="1F4E79"/>
          <w:sz w:val="28"/>
          <w:szCs w:val="28"/>
        </w:rPr>
      </w:pPr>
      <w:r w:rsidRPr="0091440B">
        <w:rPr>
          <w:color w:val="1F4E79"/>
          <w:sz w:val="28"/>
          <w:szCs w:val="28"/>
        </w:rPr>
        <w:t xml:space="preserve">I am writing to you, as Commissioner responsible for Justice, due to an urgent and unseen situation we are facing in Greece, which consists an atrocious violation of the European Law that provides for the protection of public interest witnesses. </w:t>
      </w:r>
    </w:p>
    <w:p w:rsidR="0091440B" w:rsidRPr="0091440B" w:rsidRDefault="0091440B" w:rsidP="0091440B">
      <w:pPr>
        <w:ind w:left="720"/>
        <w:jc w:val="left"/>
        <w:rPr>
          <w:color w:val="1F4E79"/>
          <w:sz w:val="28"/>
          <w:szCs w:val="28"/>
        </w:rPr>
      </w:pPr>
      <w:r w:rsidRPr="0091440B">
        <w:rPr>
          <w:color w:val="1F4E79"/>
          <w:sz w:val="28"/>
          <w:szCs w:val="28"/>
        </w:rPr>
        <w:t xml:space="preserve">To be more precise, key witnesses (whistleblowers) in the Novartis scandal are facing threats for the disclosure of their identities. </w:t>
      </w:r>
    </w:p>
    <w:p w:rsidR="0091440B" w:rsidRPr="0091440B" w:rsidRDefault="0091440B" w:rsidP="0091440B">
      <w:pPr>
        <w:ind w:left="720"/>
        <w:jc w:val="left"/>
        <w:rPr>
          <w:color w:val="1F4E79"/>
          <w:sz w:val="28"/>
          <w:szCs w:val="28"/>
        </w:rPr>
      </w:pPr>
      <w:r w:rsidRPr="0091440B">
        <w:rPr>
          <w:color w:val="1F4E79"/>
          <w:sz w:val="28"/>
          <w:szCs w:val="28"/>
        </w:rPr>
        <w:t>As you probably already know, the Novartis scandal constitutes a scandal of cross-</w:t>
      </w:r>
      <w:proofErr w:type="spellStart"/>
      <w:r w:rsidRPr="0091440B">
        <w:rPr>
          <w:color w:val="1F4E79"/>
          <w:sz w:val="28"/>
          <w:szCs w:val="28"/>
        </w:rPr>
        <w:t>european</w:t>
      </w:r>
      <w:proofErr w:type="spellEnd"/>
      <w:r w:rsidRPr="0091440B">
        <w:rPr>
          <w:color w:val="1F4E79"/>
          <w:sz w:val="28"/>
          <w:szCs w:val="28"/>
        </w:rPr>
        <w:t xml:space="preserve"> and international concern and was revealed thanks also </w:t>
      </w:r>
      <w:proofErr w:type="gramStart"/>
      <w:r w:rsidRPr="0091440B">
        <w:rPr>
          <w:color w:val="1F4E79"/>
          <w:sz w:val="28"/>
          <w:szCs w:val="28"/>
        </w:rPr>
        <w:t>to</w:t>
      </w:r>
      <w:proofErr w:type="gramEnd"/>
      <w:r w:rsidRPr="0091440B">
        <w:rPr>
          <w:color w:val="1F4E79"/>
          <w:sz w:val="28"/>
          <w:szCs w:val="28"/>
        </w:rPr>
        <w:t xml:space="preserve"> the contribution of whistleblowers. While the investigation is ongoing, there are </w:t>
      </w:r>
      <w:proofErr w:type="spellStart"/>
      <w:r w:rsidRPr="0091440B">
        <w:rPr>
          <w:color w:val="1F4E79"/>
          <w:sz w:val="28"/>
          <w:szCs w:val="28"/>
        </w:rPr>
        <w:t>attemps</w:t>
      </w:r>
      <w:proofErr w:type="spellEnd"/>
      <w:r w:rsidRPr="0091440B">
        <w:rPr>
          <w:color w:val="1F4E79"/>
          <w:sz w:val="28"/>
          <w:szCs w:val="28"/>
        </w:rPr>
        <w:t xml:space="preserve"> to use another case to force the whistleblowers to testify without keeping their anonymity. As you can imagine, this will put in danger their lives as well as the well-being of their families, because the scandal is very big. Also, it will damage the investigation itself since the witnesses are now afraid to present themselves in order to testify. </w:t>
      </w:r>
    </w:p>
    <w:p w:rsidR="0091440B" w:rsidRPr="0091440B" w:rsidRDefault="0091440B" w:rsidP="0091440B">
      <w:pPr>
        <w:ind w:left="720"/>
        <w:jc w:val="left"/>
        <w:rPr>
          <w:color w:val="1F4E79"/>
          <w:sz w:val="28"/>
          <w:szCs w:val="28"/>
        </w:rPr>
      </w:pPr>
      <w:r w:rsidRPr="0091440B">
        <w:rPr>
          <w:color w:val="1F4E79"/>
          <w:sz w:val="28"/>
          <w:szCs w:val="28"/>
        </w:rPr>
        <w:t>Contrary to the above, the European Union supports and continues to enhance the protection of witnesses of public interest. Most recently, Directive 2019/1937 of 23 October 2019 lays down common minimum standards providing for a high level of protection of persons reporting breaches of Union law (whistleblowers) in order to enhance the enforcement of Union law and policies.</w:t>
      </w:r>
    </w:p>
    <w:p w:rsidR="0091440B" w:rsidRPr="0091440B" w:rsidRDefault="0091440B" w:rsidP="0091440B">
      <w:pPr>
        <w:ind w:left="720"/>
        <w:jc w:val="left"/>
        <w:rPr>
          <w:color w:val="1F4E79"/>
          <w:sz w:val="28"/>
          <w:szCs w:val="28"/>
        </w:rPr>
      </w:pPr>
      <w:r w:rsidRPr="0091440B">
        <w:rPr>
          <w:color w:val="1F4E79"/>
          <w:sz w:val="28"/>
          <w:szCs w:val="28"/>
        </w:rPr>
        <w:t>Given the above, I would like to ask for an urgent meeting with you the soonest possible so that we can discuss further on the matter.</w:t>
      </w:r>
    </w:p>
    <w:p w:rsidR="0091440B" w:rsidRPr="0091440B" w:rsidRDefault="0091440B" w:rsidP="0091440B">
      <w:pPr>
        <w:ind w:left="720"/>
        <w:jc w:val="left"/>
        <w:rPr>
          <w:color w:val="1F4E79"/>
          <w:sz w:val="28"/>
          <w:szCs w:val="28"/>
        </w:rPr>
      </w:pPr>
      <w:r w:rsidRPr="0091440B">
        <w:rPr>
          <w:color w:val="1F4E79"/>
          <w:sz w:val="28"/>
          <w:szCs w:val="28"/>
        </w:rPr>
        <w:t xml:space="preserve">Looking forward to your </w:t>
      </w:r>
      <w:proofErr w:type="spellStart"/>
      <w:r w:rsidRPr="0091440B">
        <w:rPr>
          <w:color w:val="1F4E79"/>
          <w:sz w:val="28"/>
          <w:szCs w:val="28"/>
        </w:rPr>
        <w:t>promt</w:t>
      </w:r>
      <w:proofErr w:type="spellEnd"/>
      <w:r w:rsidRPr="0091440B">
        <w:rPr>
          <w:color w:val="1F4E79"/>
          <w:sz w:val="28"/>
          <w:szCs w:val="28"/>
        </w:rPr>
        <w:t xml:space="preserve"> answer. </w:t>
      </w:r>
    </w:p>
    <w:p w:rsidR="0091440B" w:rsidRDefault="0091440B" w:rsidP="0091440B">
      <w:pPr>
        <w:ind w:left="720"/>
        <w:jc w:val="left"/>
        <w:rPr>
          <w:color w:val="1F4E79"/>
        </w:rPr>
      </w:pPr>
    </w:p>
    <w:p w:rsidR="0091440B" w:rsidRDefault="0091440B" w:rsidP="0091440B">
      <w:pPr>
        <w:ind w:left="720"/>
        <w:jc w:val="right"/>
        <w:rPr>
          <w:color w:val="1F4E79"/>
        </w:rPr>
      </w:pPr>
      <w:r>
        <w:rPr>
          <w:color w:val="1F4E79"/>
        </w:rPr>
        <w:t>Kind regards,</w:t>
      </w:r>
    </w:p>
    <w:p w:rsidR="0091440B" w:rsidRDefault="0091440B" w:rsidP="0091440B">
      <w:pPr>
        <w:ind w:left="720"/>
        <w:jc w:val="right"/>
        <w:rPr>
          <w:color w:val="1F4E79"/>
        </w:rPr>
      </w:pPr>
    </w:p>
    <w:p w:rsidR="0091440B" w:rsidRDefault="0091440B" w:rsidP="0091440B">
      <w:pPr>
        <w:ind w:left="720"/>
        <w:jc w:val="right"/>
        <w:rPr>
          <w:color w:val="1F4E79"/>
        </w:rPr>
      </w:pPr>
      <w:proofErr w:type="spellStart"/>
      <w:r>
        <w:rPr>
          <w:color w:val="1F4E79"/>
        </w:rPr>
        <w:t>Dimitrios</w:t>
      </w:r>
      <w:proofErr w:type="spellEnd"/>
      <w:r>
        <w:rPr>
          <w:color w:val="1F4E79"/>
        </w:rPr>
        <w:t xml:space="preserve"> </w:t>
      </w:r>
      <w:proofErr w:type="spellStart"/>
      <w:r>
        <w:rPr>
          <w:color w:val="1F4E79"/>
        </w:rPr>
        <w:t>Papadimoulis</w:t>
      </w:r>
      <w:proofErr w:type="spellEnd"/>
    </w:p>
    <w:p w:rsidR="0091440B" w:rsidRDefault="0091440B" w:rsidP="0091440B">
      <w:pPr>
        <w:ind w:left="720"/>
        <w:jc w:val="right"/>
        <w:rPr>
          <w:color w:val="1F4E79"/>
        </w:rPr>
      </w:pPr>
      <w:r>
        <w:rPr>
          <w:color w:val="1F4E79"/>
        </w:rPr>
        <w:t xml:space="preserve">Vice-President of the European Parliament </w:t>
      </w:r>
    </w:p>
    <w:p w:rsidR="0091440B" w:rsidRDefault="0091440B" w:rsidP="0091440B">
      <w:pPr>
        <w:ind w:left="720"/>
        <w:jc w:val="left"/>
      </w:pPr>
    </w:p>
    <w:p w:rsidR="0091440B" w:rsidRDefault="0091440B" w:rsidP="0091440B">
      <w:pPr>
        <w:ind w:left="720"/>
        <w:jc w:val="left"/>
        <w:rPr>
          <w:color w:val="1F497D"/>
        </w:rPr>
      </w:pPr>
    </w:p>
    <w:tbl>
      <w:tblPr>
        <w:tblW w:w="480" w:type="dxa"/>
        <w:tblCellSpacing w:w="0" w:type="dxa"/>
        <w:tblInd w:w="720" w:type="dxa"/>
        <w:tblCellMar>
          <w:left w:w="0" w:type="dxa"/>
          <w:right w:w="0" w:type="dxa"/>
        </w:tblCellMar>
        <w:tblLook w:val="04A0"/>
      </w:tblPr>
      <w:tblGrid>
        <w:gridCol w:w="6750"/>
      </w:tblGrid>
      <w:tr w:rsidR="0091440B" w:rsidTr="0091440B">
        <w:trPr>
          <w:tblCellSpacing w:w="0" w:type="dxa"/>
        </w:trPr>
        <w:tc>
          <w:tcPr>
            <w:tcW w:w="0" w:type="auto"/>
            <w:hideMark/>
          </w:tcPr>
          <w:p w:rsidR="0091440B" w:rsidRDefault="0091440B" w:rsidP="0091440B">
            <w:pPr>
              <w:spacing w:line="252" w:lineRule="auto"/>
              <w:jc w:val="left"/>
              <w:rPr>
                <w:color w:val="1F497D"/>
              </w:rPr>
            </w:pPr>
            <w:r>
              <w:rPr>
                <w:noProof/>
                <w:color w:val="1F497D"/>
                <w:lang w:val="en-US"/>
              </w:rPr>
              <w:drawing>
                <wp:inline distT="0" distB="0" distL="0" distR="0">
                  <wp:extent cx="4286250" cy="180975"/>
                  <wp:effectExtent l="0" t="0" r="0" b="9525"/>
                  <wp:docPr id="4" name="Picture 4" descr="cid:image001.png@01D5787B.B6094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87B.B60948F0"/>
                          <pic:cNvPicPr>
                            <a:picLocks noChangeAspect="1" noChangeArrowheads="1"/>
                          </pic:cNvPicPr>
                        </pic:nvPicPr>
                        <pic:blipFill>
                          <a:blip r:embed="rId4" r:link="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0" cy="180975"/>
                          </a:xfrm>
                          <a:prstGeom prst="rect">
                            <a:avLst/>
                          </a:prstGeom>
                          <a:noFill/>
                          <a:ln>
                            <a:noFill/>
                          </a:ln>
                        </pic:spPr>
                      </pic:pic>
                    </a:graphicData>
                  </a:graphic>
                </wp:inline>
              </w:drawing>
            </w:r>
          </w:p>
        </w:tc>
      </w:tr>
    </w:tbl>
    <w:p w:rsidR="0091440B" w:rsidRDefault="0091440B" w:rsidP="0091440B">
      <w:pPr>
        <w:ind w:left="720"/>
        <w:jc w:val="left"/>
        <w:rPr>
          <w:rFonts w:ascii="Calibri" w:hAnsi="Calibri" w:cs="Calibri"/>
          <w:vanish/>
          <w:color w:val="1F497D"/>
        </w:rPr>
      </w:pPr>
    </w:p>
    <w:tbl>
      <w:tblPr>
        <w:tblW w:w="6750" w:type="dxa"/>
        <w:tblCellSpacing w:w="0" w:type="dxa"/>
        <w:tblInd w:w="720" w:type="dxa"/>
        <w:tblCellMar>
          <w:left w:w="0" w:type="dxa"/>
          <w:right w:w="0" w:type="dxa"/>
        </w:tblCellMar>
        <w:tblLook w:val="04A0"/>
      </w:tblPr>
      <w:tblGrid>
        <w:gridCol w:w="2550"/>
        <w:gridCol w:w="4200"/>
      </w:tblGrid>
      <w:tr w:rsidR="0091440B" w:rsidTr="0091440B">
        <w:trPr>
          <w:tblCellSpacing w:w="0" w:type="dxa"/>
        </w:trPr>
        <w:tc>
          <w:tcPr>
            <w:tcW w:w="2025" w:type="dxa"/>
            <w:vAlign w:val="center"/>
          </w:tcPr>
          <w:p w:rsidR="0091440B" w:rsidRDefault="0091440B" w:rsidP="0091440B">
            <w:pPr>
              <w:spacing w:line="252" w:lineRule="auto"/>
              <w:ind w:left="450"/>
              <w:jc w:val="left"/>
              <w:rPr>
                <w:color w:val="1F497D"/>
                <w:lang w:val="en-US"/>
              </w:rPr>
            </w:pPr>
            <w:r>
              <w:rPr>
                <w:noProof/>
                <w:color w:val="1F497D"/>
                <w:lang w:val="en-US"/>
              </w:rPr>
              <w:drawing>
                <wp:inline distT="0" distB="0" distL="0" distR="0">
                  <wp:extent cx="1333500" cy="714375"/>
                  <wp:effectExtent l="0" t="0" r="0" b="9525"/>
                  <wp:docPr id="3" name="Picture 3" descr="cid:image002.png@01D5787B.B6094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787B.B60948F0"/>
                          <pic:cNvPicPr>
                            <a:picLocks noChangeAspect="1" noChangeArrowheads="1"/>
                          </pic:cNvPicPr>
                        </pic:nvPicPr>
                        <pic:blipFill>
                          <a:blip r:embed="rId6" r:link="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714375"/>
                          </a:xfrm>
                          <a:prstGeom prst="rect">
                            <a:avLst/>
                          </a:prstGeom>
                          <a:noFill/>
                          <a:ln>
                            <a:noFill/>
                          </a:ln>
                        </pic:spPr>
                      </pic:pic>
                    </a:graphicData>
                  </a:graphic>
                </wp:inline>
              </w:drawing>
            </w:r>
          </w:p>
          <w:p w:rsidR="0091440B" w:rsidRDefault="0091440B" w:rsidP="0091440B">
            <w:pPr>
              <w:jc w:val="left"/>
              <w:rPr>
                <w:rFonts w:ascii="Calibri" w:hAnsi="Calibri" w:cs="Calibri"/>
                <w:color w:val="1F497D"/>
              </w:rPr>
            </w:pPr>
          </w:p>
          <w:p w:rsidR="0091440B" w:rsidRDefault="0091440B" w:rsidP="0091440B">
            <w:pPr>
              <w:spacing w:line="252" w:lineRule="auto"/>
              <w:ind w:left="450"/>
              <w:jc w:val="left"/>
              <w:rPr>
                <w:color w:val="1F497D"/>
              </w:rPr>
            </w:pPr>
            <w:r>
              <w:rPr>
                <w:noProof/>
                <w:color w:val="0000FF"/>
                <w:lang w:val="en-US"/>
              </w:rPr>
              <w:lastRenderedPageBreak/>
              <w:drawing>
                <wp:inline distT="0" distB="0" distL="0" distR="0">
                  <wp:extent cx="685800" cy="428625"/>
                  <wp:effectExtent l="0" t="0" r="0" b="9525"/>
                  <wp:docPr id="2" name="Picture 2" descr="cid:image003.png@01D5787B.B60948F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787B.B60948F0"/>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428625"/>
                          </a:xfrm>
                          <a:prstGeom prst="rect">
                            <a:avLst/>
                          </a:prstGeom>
                          <a:noFill/>
                          <a:ln>
                            <a:noFill/>
                          </a:ln>
                        </pic:spPr>
                      </pic:pic>
                    </a:graphicData>
                  </a:graphic>
                </wp:inline>
              </w:drawing>
            </w:r>
          </w:p>
        </w:tc>
        <w:tc>
          <w:tcPr>
            <w:tcW w:w="4725" w:type="dxa"/>
            <w:vAlign w:val="center"/>
            <w:hideMark/>
          </w:tcPr>
          <w:tbl>
            <w:tblPr>
              <w:tblW w:w="3900" w:type="dxa"/>
              <w:tblCellMar>
                <w:left w:w="0" w:type="dxa"/>
                <w:right w:w="0" w:type="dxa"/>
              </w:tblCellMar>
              <w:tblLook w:val="04A0"/>
            </w:tblPr>
            <w:tblGrid>
              <w:gridCol w:w="3900"/>
            </w:tblGrid>
            <w:tr w:rsidR="0091440B">
              <w:trPr>
                <w:trHeight w:val="255"/>
              </w:trPr>
              <w:tc>
                <w:tcPr>
                  <w:tcW w:w="3900" w:type="dxa"/>
                  <w:hideMark/>
                </w:tcPr>
                <w:p w:rsidR="0091440B" w:rsidRDefault="0091440B" w:rsidP="0091440B">
                  <w:pPr>
                    <w:spacing w:line="252" w:lineRule="auto"/>
                    <w:jc w:val="left"/>
                    <w:rPr>
                      <w:color w:val="036599"/>
                      <w:sz w:val="23"/>
                      <w:szCs w:val="23"/>
                    </w:rPr>
                  </w:pPr>
                  <w:proofErr w:type="spellStart"/>
                  <w:r>
                    <w:rPr>
                      <w:b/>
                      <w:bCs/>
                      <w:color w:val="036599"/>
                      <w:sz w:val="23"/>
                      <w:szCs w:val="23"/>
                    </w:rPr>
                    <w:lastRenderedPageBreak/>
                    <w:t>Dimitrios</w:t>
                  </w:r>
                  <w:proofErr w:type="spellEnd"/>
                  <w:r>
                    <w:rPr>
                      <w:b/>
                      <w:bCs/>
                      <w:color w:val="036599"/>
                      <w:sz w:val="23"/>
                      <w:szCs w:val="23"/>
                    </w:rPr>
                    <w:t xml:space="preserve"> </w:t>
                  </w:r>
                  <w:proofErr w:type="spellStart"/>
                  <w:r>
                    <w:rPr>
                      <w:b/>
                      <w:bCs/>
                      <w:color w:val="036599"/>
                      <w:sz w:val="23"/>
                      <w:szCs w:val="23"/>
                    </w:rPr>
                    <w:t>Papadimoulis</w:t>
                  </w:r>
                  <w:proofErr w:type="spellEnd"/>
                </w:p>
              </w:tc>
            </w:tr>
            <w:tr w:rsidR="0091440B">
              <w:tc>
                <w:tcPr>
                  <w:tcW w:w="3900" w:type="dxa"/>
                  <w:hideMark/>
                </w:tcPr>
                <w:p w:rsidR="0091440B" w:rsidRDefault="0091440B" w:rsidP="0091440B">
                  <w:pPr>
                    <w:spacing w:line="252" w:lineRule="auto"/>
                    <w:jc w:val="left"/>
                    <w:rPr>
                      <w:color w:val="838B8B"/>
                      <w:sz w:val="17"/>
                      <w:szCs w:val="17"/>
                    </w:rPr>
                  </w:pPr>
                  <w:r>
                    <w:rPr>
                      <w:color w:val="838B8B"/>
                      <w:sz w:val="17"/>
                      <w:szCs w:val="17"/>
                    </w:rPr>
                    <w:t xml:space="preserve">Vice-President of the European Parliament </w:t>
                  </w:r>
                </w:p>
              </w:tc>
            </w:tr>
            <w:tr w:rsidR="0091440B">
              <w:tc>
                <w:tcPr>
                  <w:tcW w:w="3900" w:type="dxa"/>
                  <w:hideMark/>
                </w:tcPr>
                <w:p w:rsidR="0091440B" w:rsidRDefault="0091440B" w:rsidP="0091440B">
                  <w:pPr>
                    <w:spacing w:line="252" w:lineRule="auto"/>
                    <w:jc w:val="left"/>
                    <w:rPr>
                      <w:color w:val="838B8B"/>
                      <w:sz w:val="17"/>
                      <w:szCs w:val="17"/>
                    </w:rPr>
                  </w:pPr>
                  <w:r>
                    <w:rPr>
                      <w:color w:val="838B8B"/>
                      <w:sz w:val="17"/>
                      <w:szCs w:val="17"/>
                    </w:rPr>
                    <w:t xml:space="preserve">MEP SYRIZA- GUE/NGL </w:t>
                  </w:r>
                </w:p>
              </w:tc>
            </w:tr>
            <w:tr w:rsidR="0091440B">
              <w:tc>
                <w:tcPr>
                  <w:tcW w:w="3900" w:type="dxa"/>
                  <w:hideMark/>
                </w:tcPr>
                <w:p w:rsidR="0091440B" w:rsidRDefault="0091440B" w:rsidP="0091440B">
                  <w:pPr>
                    <w:spacing w:line="252" w:lineRule="auto"/>
                    <w:jc w:val="left"/>
                    <w:rPr>
                      <w:rFonts w:ascii="Calibri" w:hAnsi="Calibri" w:cs="Calibri"/>
                      <w:color w:val="838B8B"/>
                      <w:sz w:val="17"/>
                      <w:szCs w:val="17"/>
                    </w:rPr>
                  </w:pPr>
                  <w:r>
                    <w:rPr>
                      <w:rFonts w:ascii="Webdings" w:hAnsi="Webdings"/>
                      <w:color w:val="838B8B"/>
                      <w:sz w:val="17"/>
                      <w:szCs w:val="17"/>
                    </w:rPr>
                    <w:t></w:t>
                  </w:r>
                  <w:r>
                    <w:rPr>
                      <w:color w:val="838B8B"/>
                      <w:sz w:val="17"/>
                      <w:szCs w:val="17"/>
                    </w:rPr>
                    <w:t xml:space="preserve"> ASP 04F358 / </w:t>
                  </w:r>
                  <w:r>
                    <w:rPr>
                      <w:rFonts w:ascii="Wingdings 2" w:hAnsi="Wingdings 2"/>
                      <w:color w:val="838B8B"/>
                      <w:sz w:val="17"/>
                      <w:szCs w:val="17"/>
                    </w:rPr>
                    <w:t></w:t>
                  </w:r>
                  <w:r>
                    <w:rPr>
                      <w:color w:val="838B8B"/>
                      <w:sz w:val="17"/>
                      <w:szCs w:val="17"/>
                    </w:rPr>
                    <w:t xml:space="preserve"> (+32) 228 45399 </w:t>
                  </w:r>
                </w:p>
              </w:tc>
            </w:tr>
            <w:tr w:rsidR="0091440B">
              <w:tc>
                <w:tcPr>
                  <w:tcW w:w="3900" w:type="dxa"/>
                  <w:hideMark/>
                </w:tcPr>
                <w:p w:rsidR="0091440B" w:rsidRDefault="0091440B" w:rsidP="0091440B">
                  <w:pPr>
                    <w:spacing w:line="252" w:lineRule="auto"/>
                    <w:jc w:val="left"/>
                    <w:rPr>
                      <w:color w:val="838B8B"/>
                      <w:sz w:val="17"/>
                      <w:szCs w:val="17"/>
                    </w:rPr>
                  </w:pPr>
                  <w:r>
                    <w:rPr>
                      <w:rFonts w:ascii="Webdings" w:hAnsi="Webdings"/>
                      <w:color w:val="838B8B"/>
                      <w:sz w:val="17"/>
                      <w:szCs w:val="17"/>
                    </w:rPr>
                    <w:t></w:t>
                  </w:r>
                  <w:r>
                    <w:rPr>
                      <w:color w:val="838B8B"/>
                      <w:sz w:val="17"/>
                      <w:szCs w:val="17"/>
                    </w:rPr>
                    <w:t xml:space="preserve"> LOW T12061 / </w:t>
                  </w:r>
                  <w:r>
                    <w:rPr>
                      <w:rFonts w:ascii="Wingdings 2" w:hAnsi="Wingdings 2"/>
                      <w:color w:val="838B8B"/>
                      <w:sz w:val="17"/>
                      <w:szCs w:val="17"/>
                    </w:rPr>
                    <w:t></w:t>
                  </w:r>
                  <w:r>
                    <w:rPr>
                      <w:color w:val="838B8B"/>
                      <w:sz w:val="17"/>
                      <w:szCs w:val="17"/>
                    </w:rPr>
                    <w:t xml:space="preserve"> (+33) 3881 75399 </w:t>
                  </w:r>
                </w:p>
              </w:tc>
            </w:tr>
            <w:tr w:rsidR="0091440B">
              <w:tc>
                <w:tcPr>
                  <w:tcW w:w="3900" w:type="dxa"/>
                  <w:hideMark/>
                </w:tcPr>
                <w:p w:rsidR="0091440B" w:rsidRDefault="0091440B" w:rsidP="0091440B">
                  <w:pPr>
                    <w:spacing w:line="252" w:lineRule="auto"/>
                    <w:jc w:val="left"/>
                    <w:rPr>
                      <w:color w:val="838B8B"/>
                      <w:sz w:val="17"/>
                      <w:szCs w:val="17"/>
                    </w:rPr>
                  </w:pPr>
                  <w:r>
                    <w:rPr>
                      <w:rFonts w:ascii="Wingdings" w:hAnsi="Wingdings"/>
                      <w:color w:val="838B8B"/>
                      <w:sz w:val="17"/>
                      <w:szCs w:val="17"/>
                    </w:rPr>
                    <w:t></w:t>
                  </w:r>
                  <w:hyperlink r:id="rId11" w:history="1">
                    <w:r>
                      <w:rPr>
                        <w:rStyle w:val="Hyperlink"/>
                        <w:sz w:val="17"/>
                        <w:szCs w:val="17"/>
                      </w:rPr>
                      <w:t>dimitrios.papadimoulis@ep.europa.eu</w:t>
                    </w:r>
                  </w:hyperlink>
                  <w:bookmarkStart w:id="1" w:name="_GoBack"/>
                  <w:bookmarkEnd w:id="1"/>
                </w:p>
              </w:tc>
            </w:tr>
          </w:tbl>
          <w:p w:rsidR="0091440B" w:rsidRDefault="0091440B" w:rsidP="0091440B">
            <w:pPr>
              <w:jc w:val="left"/>
              <w:rPr>
                <w:rFonts w:eastAsia="Times New Roman"/>
                <w:sz w:val="20"/>
                <w:szCs w:val="20"/>
              </w:rPr>
            </w:pPr>
          </w:p>
        </w:tc>
      </w:tr>
    </w:tbl>
    <w:p w:rsidR="0091440B" w:rsidRDefault="0091440B" w:rsidP="0091440B">
      <w:pPr>
        <w:ind w:left="720"/>
        <w:jc w:val="left"/>
        <w:rPr>
          <w:rFonts w:ascii="Calibri" w:hAnsi="Calibri" w:cs="Calibri"/>
          <w:vanish/>
          <w:color w:val="1F497D"/>
        </w:rPr>
      </w:pPr>
    </w:p>
    <w:tbl>
      <w:tblPr>
        <w:tblW w:w="6750" w:type="dxa"/>
        <w:tblCellSpacing w:w="0" w:type="dxa"/>
        <w:tblInd w:w="720" w:type="dxa"/>
        <w:tblCellMar>
          <w:left w:w="0" w:type="dxa"/>
          <w:right w:w="0" w:type="dxa"/>
        </w:tblCellMar>
        <w:tblLook w:val="04A0"/>
      </w:tblPr>
      <w:tblGrid>
        <w:gridCol w:w="6750"/>
      </w:tblGrid>
      <w:tr w:rsidR="0091440B" w:rsidTr="0091440B">
        <w:trPr>
          <w:tblCellSpacing w:w="0" w:type="dxa"/>
        </w:trPr>
        <w:tc>
          <w:tcPr>
            <w:tcW w:w="6750" w:type="dxa"/>
            <w:hideMark/>
          </w:tcPr>
          <w:p w:rsidR="0091440B" w:rsidRDefault="0091440B" w:rsidP="0091440B">
            <w:pPr>
              <w:spacing w:line="252" w:lineRule="auto"/>
              <w:jc w:val="left"/>
              <w:rPr>
                <w:color w:val="1F497D"/>
                <w:lang w:val="en-US"/>
              </w:rPr>
            </w:pPr>
            <w:r>
              <w:rPr>
                <w:noProof/>
                <w:color w:val="1F497D"/>
                <w:lang w:val="en-US"/>
              </w:rPr>
              <w:drawing>
                <wp:inline distT="0" distB="0" distL="0" distR="0">
                  <wp:extent cx="4286250" cy="161925"/>
                  <wp:effectExtent l="0" t="0" r="0" b="9525"/>
                  <wp:docPr id="1" name="Picture 1" descr="cid:image004.png@01D5787B.B6094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787B.B60948F0"/>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0" cy="161925"/>
                          </a:xfrm>
                          <a:prstGeom prst="rect">
                            <a:avLst/>
                          </a:prstGeom>
                          <a:noFill/>
                          <a:ln>
                            <a:noFill/>
                          </a:ln>
                        </pic:spPr>
                      </pic:pic>
                    </a:graphicData>
                  </a:graphic>
                </wp:inline>
              </w:drawing>
            </w:r>
          </w:p>
        </w:tc>
      </w:tr>
    </w:tbl>
    <w:p w:rsidR="0091440B" w:rsidRDefault="0091440B" w:rsidP="0091440B">
      <w:pPr>
        <w:ind w:left="720"/>
        <w:jc w:val="left"/>
        <w:rPr>
          <w:rFonts w:ascii="Calibri" w:hAnsi="Calibri" w:cs="Calibri"/>
          <w:vanish/>
          <w:color w:val="1F497D"/>
        </w:rPr>
      </w:pPr>
    </w:p>
    <w:tbl>
      <w:tblPr>
        <w:tblW w:w="6750" w:type="dxa"/>
        <w:tblCellSpacing w:w="0" w:type="dxa"/>
        <w:tblInd w:w="720" w:type="dxa"/>
        <w:tblCellMar>
          <w:left w:w="0" w:type="dxa"/>
          <w:right w:w="0" w:type="dxa"/>
        </w:tblCellMar>
        <w:tblLook w:val="04A0"/>
      </w:tblPr>
      <w:tblGrid>
        <w:gridCol w:w="360"/>
        <w:gridCol w:w="6390"/>
      </w:tblGrid>
      <w:tr w:rsidR="0091440B" w:rsidTr="0091440B">
        <w:trPr>
          <w:tblCellSpacing w:w="0" w:type="dxa"/>
          <w:hidden/>
        </w:trPr>
        <w:tc>
          <w:tcPr>
            <w:tcW w:w="360" w:type="dxa"/>
            <w:vAlign w:val="center"/>
            <w:hideMark/>
          </w:tcPr>
          <w:p w:rsidR="0091440B" w:rsidRDefault="0091440B" w:rsidP="0091440B">
            <w:pPr>
              <w:jc w:val="left"/>
              <w:rPr>
                <w:vanish/>
                <w:color w:val="1F497D"/>
              </w:rPr>
            </w:pPr>
          </w:p>
        </w:tc>
        <w:tc>
          <w:tcPr>
            <w:tcW w:w="6390" w:type="dxa"/>
            <w:hideMark/>
          </w:tcPr>
          <w:p w:rsidR="0091440B" w:rsidRDefault="0091440B" w:rsidP="0091440B">
            <w:pPr>
              <w:jc w:val="left"/>
              <w:rPr>
                <w:rFonts w:eastAsia="Times New Roman"/>
                <w:sz w:val="20"/>
                <w:szCs w:val="20"/>
              </w:rPr>
            </w:pPr>
          </w:p>
        </w:tc>
      </w:tr>
      <w:bookmarkEnd w:id="0"/>
    </w:tbl>
    <w:p w:rsidR="0091440B" w:rsidRDefault="0091440B" w:rsidP="0091440B">
      <w:pPr>
        <w:ind w:left="720"/>
        <w:jc w:val="left"/>
      </w:pPr>
    </w:p>
    <w:p w:rsidR="008765BE" w:rsidRDefault="008765BE" w:rsidP="0091440B">
      <w:pPr>
        <w:jc w:val="left"/>
      </w:pPr>
    </w:p>
    <w:sectPr w:rsidR="008765BE" w:rsidSect="00FB08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440B"/>
    <w:rsid w:val="005762E3"/>
    <w:rsid w:val="008765BE"/>
    <w:rsid w:val="0091440B"/>
    <w:rsid w:val="00D26D8F"/>
    <w:rsid w:val="00FB0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Hyperlink">
    <w:name w:val="Hyperlink"/>
    <w:basedOn w:val="DefaultParagraphFont"/>
    <w:uiPriority w:val="99"/>
    <w:semiHidden/>
    <w:unhideWhenUsed/>
    <w:rsid w:val="0091440B"/>
    <w:rPr>
      <w:color w:val="0563C1"/>
      <w:u w:val="single"/>
    </w:rPr>
  </w:style>
  <w:style w:type="paragraph" w:styleId="BalloonText">
    <w:name w:val="Balloon Text"/>
    <w:basedOn w:val="Normal"/>
    <w:link w:val="BalloonTextChar"/>
    <w:uiPriority w:val="99"/>
    <w:semiHidden/>
    <w:unhideWhenUsed/>
    <w:rsid w:val="00D26D8F"/>
    <w:rPr>
      <w:rFonts w:ascii="Tahoma" w:hAnsi="Tahoma" w:cs="Tahoma"/>
      <w:sz w:val="16"/>
      <w:szCs w:val="16"/>
    </w:rPr>
  </w:style>
  <w:style w:type="character" w:customStyle="1" w:styleId="BalloonTextChar">
    <w:name w:val="Balloon Text Char"/>
    <w:basedOn w:val="DefaultParagraphFont"/>
    <w:link w:val="BalloonText"/>
    <w:uiPriority w:val="99"/>
    <w:semiHidden/>
    <w:rsid w:val="00D26D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4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engl.eu/" TargetMode="External"/><Relationship Id="rId13" Type="http://schemas.openxmlformats.org/officeDocument/2006/relationships/image" Target="cid:image004.png@01D5E71A.B00D1130" TargetMode="External"/><Relationship Id="rId3" Type="http://schemas.openxmlformats.org/officeDocument/2006/relationships/webSettings" Target="webSettings.xml"/><Relationship Id="rId7" Type="http://schemas.openxmlformats.org/officeDocument/2006/relationships/image" Target="cid:image002.png@01D5E71A.B00D1130"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dimitrios.papadimoulis@ep.europa.eu" TargetMode="External"/><Relationship Id="rId5" Type="http://schemas.openxmlformats.org/officeDocument/2006/relationships/image" Target="cid:image001.png@01D5E71A.B00D1130" TargetMode="External"/><Relationship Id="rId15" Type="http://schemas.openxmlformats.org/officeDocument/2006/relationships/theme" Target="theme/theme1.xml"/><Relationship Id="rId10" Type="http://schemas.openxmlformats.org/officeDocument/2006/relationships/image" Target="cid:image003.png@01D5E71A.B00D1130"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PAPADIMOULIS Dimitrios</dc:creator>
  <cp:lastModifiedBy>mic</cp:lastModifiedBy>
  <cp:revision>2</cp:revision>
  <dcterms:created xsi:type="dcterms:W3CDTF">2020-02-20T07:04:00Z</dcterms:created>
  <dcterms:modified xsi:type="dcterms:W3CDTF">2020-02-20T07:04:00Z</dcterms:modified>
</cp:coreProperties>
</file>